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92133" w14:textId="33143730" w:rsidR="00686748" w:rsidRPr="00151435" w:rsidRDefault="00753F93" w:rsidP="00686748">
      <w:pPr>
        <w:spacing w:after="100"/>
        <w:jc w:val="center"/>
        <w:rPr>
          <w:b/>
          <w:color w:val="000000"/>
          <w:vertAlign w:val="superscript"/>
        </w:rPr>
      </w:pPr>
      <w:r>
        <w:rPr>
          <w:rFonts w:ascii="Times New Roman" w:eastAsia="Helvetica Neue" w:hAnsi="Times New Roman" w:cs="Times New Roman"/>
          <w:b/>
          <w:sz w:val="40"/>
          <w:szCs w:val="40"/>
        </w:rPr>
        <w:t xml:space="preserve">Surgical Correction of </w:t>
      </w:r>
      <w:r w:rsidR="00263046" w:rsidRPr="00924721">
        <w:rPr>
          <w:rFonts w:ascii="Times New Roman" w:eastAsia="Helvetica Neue" w:hAnsi="Times New Roman" w:cs="Times New Roman"/>
          <w:b/>
          <w:sz w:val="40"/>
          <w:szCs w:val="40"/>
        </w:rPr>
        <w:t xml:space="preserve">Coxa Vara </w:t>
      </w:r>
      <w:r w:rsidR="00263046">
        <w:rPr>
          <w:rFonts w:ascii="Times New Roman" w:eastAsia="Helvetica Neue" w:hAnsi="Times New Roman" w:cs="Times New Roman"/>
          <w:b/>
          <w:sz w:val="40"/>
          <w:szCs w:val="40"/>
        </w:rPr>
        <w:t xml:space="preserve">by </w:t>
      </w:r>
      <w:r w:rsidR="00924721" w:rsidRPr="00924721">
        <w:rPr>
          <w:rFonts w:ascii="Times New Roman" w:eastAsia="Helvetica Neue" w:hAnsi="Times New Roman" w:cs="Times New Roman"/>
          <w:b/>
          <w:sz w:val="40"/>
          <w:szCs w:val="40"/>
        </w:rPr>
        <w:t xml:space="preserve">Valgus Osteotomy </w:t>
      </w:r>
      <w:r w:rsidR="00263046">
        <w:rPr>
          <w:rFonts w:ascii="Times New Roman" w:eastAsia="Helvetica Neue" w:hAnsi="Times New Roman" w:cs="Times New Roman"/>
          <w:b/>
          <w:sz w:val="40"/>
          <w:szCs w:val="40"/>
        </w:rPr>
        <w:t>Using</w:t>
      </w:r>
      <w:r w:rsidR="00924721" w:rsidRPr="00924721">
        <w:rPr>
          <w:rFonts w:ascii="Times New Roman" w:eastAsia="Helvetica Neue" w:hAnsi="Times New Roman" w:cs="Times New Roman"/>
          <w:b/>
          <w:sz w:val="40"/>
          <w:szCs w:val="40"/>
        </w:rPr>
        <w:t xml:space="preserve"> Plate versus </w:t>
      </w:r>
      <w:bookmarkStart w:id="0" w:name="_Hlk101135346"/>
      <w:proofErr w:type="spellStart"/>
      <w:r w:rsidR="00924721" w:rsidRPr="00924721">
        <w:rPr>
          <w:rFonts w:ascii="Times New Roman" w:eastAsia="Helvetica Neue" w:hAnsi="Times New Roman" w:cs="Times New Roman"/>
          <w:b/>
          <w:sz w:val="40"/>
          <w:szCs w:val="40"/>
        </w:rPr>
        <w:t>Monolateral</w:t>
      </w:r>
      <w:proofErr w:type="spellEnd"/>
      <w:r w:rsidR="00924721" w:rsidRPr="00924721">
        <w:rPr>
          <w:rFonts w:ascii="Times New Roman" w:eastAsia="Helvetica Neue" w:hAnsi="Times New Roman" w:cs="Times New Roman"/>
          <w:b/>
          <w:sz w:val="40"/>
          <w:szCs w:val="40"/>
        </w:rPr>
        <w:t xml:space="preserve"> External Fixator</w:t>
      </w:r>
      <w:r w:rsidR="00AF0CD9" w:rsidRPr="00AF0CD9">
        <w:rPr>
          <w:rFonts w:ascii="Times New Roman" w:eastAsia="Helvetica Neue" w:hAnsi="Times New Roman" w:cs="Times New Roman"/>
          <w:b/>
          <w:sz w:val="32"/>
          <w:szCs w:val="32"/>
        </w:rPr>
        <w:t xml:space="preserve"> </w:t>
      </w:r>
      <w:bookmarkEnd w:id="0"/>
      <w:r w:rsidR="00AF0CD9" w:rsidRPr="00AF0CD9">
        <w:rPr>
          <w:rFonts w:ascii="Times New Roman" w:eastAsia="Helvetica Neue" w:hAnsi="Times New Roman" w:cs="Times New Roman"/>
          <w:b/>
          <w:color w:val="000000"/>
        </w:rPr>
        <w:br/>
      </w:r>
      <w:r w:rsidR="00686748">
        <w:rPr>
          <w:b/>
        </w:rPr>
        <w:t xml:space="preserve">Mohamed  Rabie Abdalla Saleh </w:t>
      </w:r>
      <w:r w:rsidR="00686748">
        <w:rPr>
          <w:b/>
          <w:vertAlign w:val="superscript"/>
        </w:rPr>
        <w:t xml:space="preserve">1 </w:t>
      </w:r>
      <w:r w:rsidR="00686748">
        <w:rPr>
          <w:b/>
        </w:rPr>
        <w:t>,</w:t>
      </w:r>
      <w:r w:rsidR="00686748">
        <w:rPr>
          <w:b/>
          <w:color w:val="000000"/>
          <w:vertAlign w:val="superscript"/>
        </w:rPr>
        <w:t xml:space="preserve"> </w:t>
      </w:r>
      <w:r w:rsidR="00B0733B">
        <w:rPr>
          <w:b/>
          <w:color w:val="000000"/>
        </w:rPr>
        <w:t xml:space="preserve">Mohamed Abo </w:t>
      </w:r>
      <w:proofErr w:type="spellStart"/>
      <w:r w:rsidR="00B0733B">
        <w:rPr>
          <w:b/>
          <w:color w:val="000000"/>
        </w:rPr>
        <w:t>Zeid</w:t>
      </w:r>
      <w:proofErr w:type="spellEnd"/>
      <w:r w:rsidR="00686748">
        <w:rPr>
          <w:b/>
        </w:rPr>
        <w:t xml:space="preserve"> </w:t>
      </w:r>
      <w:r w:rsidR="00686748">
        <w:rPr>
          <w:b/>
          <w:color w:val="000000"/>
          <w:vertAlign w:val="superscript"/>
        </w:rPr>
        <w:t xml:space="preserve">2 </w:t>
      </w:r>
      <w:r w:rsidR="00686748" w:rsidRPr="00A15C14">
        <w:rPr>
          <w:b/>
        </w:rPr>
        <w:t xml:space="preserve"> </w:t>
      </w:r>
    </w:p>
    <w:p w14:paraId="310B5CCC" w14:textId="77777777" w:rsidR="00686748" w:rsidRDefault="00686748" w:rsidP="00686748">
      <w:pPr>
        <w:spacing w:after="100"/>
        <w:jc w:val="center"/>
      </w:pPr>
      <w:r>
        <w:rPr>
          <w:vertAlign w:val="superscript"/>
        </w:rPr>
        <w:t>1</w:t>
      </w:r>
      <w:r>
        <w:t>Faculty of Medicine, Department of Orthopedics, Helwan University.</w:t>
      </w:r>
    </w:p>
    <w:p w14:paraId="1BF3CB96" w14:textId="2ACC212B" w:rsidR="00686748" w:rsidRDefault="00686748" w:rsidP="00686748">
      <w:pPr>
        <w:spacing w:after="100"/>
        <w:jc w:val="center"/>
      </w:pPr>
      <w:bookmarkStart w:id="1" w:name="_heading=h.30j0zll" w:colFirst="0" w:colLast="0"/>
      <w:bookmarkEnd w:id="1"/>
      <w:r>
        <w:rPr>
          <w:vertAlign w:val="superscript"/>
        </w:rPr>
        <w:t>2</w:t>
      </w:r>
      <w:r>
        <w:t xml:space="preserve">Faculty of Medicine, Department of Orthopedics, </w:t>
      </w:r>
      <w:proofErr w:type="spellStart"/>
      <w:r w:rsidR="00B0733B">
        <w:t>Banha</w:t>
      </w:r>
      <w:proofErr w:type="spellEnd"/>
      <w:r w:rsidR="00B0733B">
        <w:t xml:space="preserve"> University.</w:t>
      </w:r>
    </w:p>
    <w:p w14:paraId="18A241B6" w14:textId="77777777" w:rsidR="00686748" w:rsidRDefault="00686748" w:rsidP="00686748">
      <w:pPr>
        <w:spacing w:after="100"/>
        <w:jc w:val="center"/>
      </w:pPr>
      <w:bookmarkStart w:id="2" w:name="_heading=h.1fob9te" w:colFirst="0" w:colLast="0"/>
      <w:bookmarkEnd w:id="2"/>
      <w:r>
        <w:rPr>
          <w:b/>
        </w:rPr>
        <w:t>Corresponding author:</w:t>
      </w:r>
      <w:r>
        <w:t xml:space="preserve"> Mohamed Rabie Abdalla Saleh</w:t>
      </w:r>
    </w:p>
    <w:p w14:paraId="23BF99E4" w14:textId="77777777" w:rsidR="00686748" w:rsidRDefault="00686748" w:rsidP="00686748">
      <w:pPr>
        <w:spacing w:after="100"/>
        <w:jc w:val="center"/>
      </w:pPr>
      <w:bookmarkStart w:id="3" w:name="_heading=h.dki6pyarx3mh" w:colFirst="0" w:colLast="0"/>
      <w:bookmarkEnd w:id="3"/>
      <w:r>
        <w:t xml:space="preserve">Email: </w:t>
      </w:r>
      <w:hyperlink r:id="rId5">
        <w:r>
          <w:rPr>
            <w:color w:val="1155CC"/>
            <w:u w:val="single"/>
          </w:rPr>
          <w:t>docmohamedrabie@gmail.com</w:t>
        </w:r>
      </w:hyperlink>
      <w:r>
        <w:t xml:space="preserve"> </w:t>
      </w:r>
    </w:p>
    <w:p w14:paraId="087F9134" w14:textId="77777777" w:rsidR="00686748" w:rsidRDefault="00686748" w:rsidP="00686748">
      <w:pPr>
        <w:spacing w:after="100"/>
        <w:jc w:val="center"/>
      </w:pPr>
      <w:bookmarkStart w:id="4" w:name="_heading=h.hb1br6dpcqdn" w:colFirst="0" w:colLast="0"/>
      <w:bookmarkEnd w:id="4"/>
      <w:r>
        <w:t xml:space="preserve">                          :</w:t>
      </w:r>
      <w:hyperlink r:id="rId6">
        <w:r>
          <w:rPr>
            <w:color w:val="1155CC"/>
            <w:u w:val="single"/>
          </w:rPr>
          <w:t>mohamed.rabie@med.helwan.edu.com</w:t>
        </w:r>
      </w:hyperlink>
    </w:p>
    <w:p w14:paraId="20F23569" w14:textId="77777777" w:rsidR="00686748" w:rsidRDefault="00686748" w:rsidP="00686748">
      <w:pPr>
        <w:spacing w:after="100" w:line="360" w:lineRule="auto"/>
        <w:jc w:val="center"/>
      </w:pPr>
      <w:bookmarkStart w:id="5" w:name="_heading=h.87q2u2sk7fr4" w:colFirst="0" w:colLast="0"/>
      <w:bookmarkEnd w:id="5"/>
      <w:r>
        <w:t>Phone: 01006654001</w:t>
      </w:r>
    </w:p>
    <w:p w14:paraId="06F7B57F" w14:textId="5EBD4485" w:rsidR="00686748" w:rsidRDefault="00686748" w:rsidP="00686748">
      <w:pPr>
        <w:spacing w:after="100" w:line="360" w:lineRule="auto"/>
        <w:jc w:val="center"/>
        <w:rPr>
          <w:b/>
          <w:color w:val="000000"/>
        </w:rPr>
      </w:pPr>
      <w:r>
        <w:t xml:space="preserve"> </w:t>
      </w:r>
      <w:r>
        <w:rPr>
          <w:b/>
          <w:bCs/>
        </w:rPr>
        <w:t xml:space="preserve">   </w:t>
      </w:r>
      <w:r w:rsidRPr="00E96B60">
        <w:rPr>
          <w:b/>
          <w:bCs/>
        </w:rPr>
        <w:t>Co-author</w:t>
      </w:r>
      <w:r w:rsidR="00B0733B">
        <w:rPr>
          <w:b/>
          <w:bCs/>
        </w:rPr>
        <w:t>:</w:t>
      </w:r>
      <w:r w:rsidR="00B0733B" w:rsidRPr="00B0733B">
        <w:rPr>
          <w:b/>
          <w:color w:val="000000"/>
        </w:rPr>
        <w:t xml:space="preserve"> </w:t>
      </w:r>
      <w:r w:rsidR="00C41760">
        <w:rPr>
          <w:b/>
          <w:color w:val="000000"/>
        </w:rPr>
        <w:t>Mahmoud</w:t>
      </w:r>
      <w:r w:rsidR="00B0733B">
        <w:rPr>
          <w:b/>
          <w:color w:val="000000"/>
        </w:rPr>
        <w:t xml:space="preserve"> </w:t>
      </w:r>
      <w:proofErr w:type="spellStart"/>
      <w:r w:rsidR="00B0733B">
        <w:rPr>
          <w:b/>
          <w:color w:val="000000"/>
        </w:rPr>
        <w:t>Abo</w:t>
      </w:r>
      <w:r w:rsidR="00C41760">
        <w:rPr>
          <w:b/>
          <w:color w:val="000000"/>
        </w:rPr>
        <w:t>u</w:t>
      </w:r>
      <w:proofErr w:type="spellEnd"/>
      <w:r w:rsidR="00C41760">
        <w:rPr>
          <w:b/>
          <w:color w:val="000000"/>
        </w:rPr>
        <w:t xml:space="preserve"> </w:t>
      </w:r>
      <w:proofErr w:type="spellStart"/>
      <w:r w:rsidR="00C41760">
        <w:rPr>
          <w:b/>
          <w:color w:val="000000"/>
        </w:rPr>
        <w:t>Zie</w:t>
      </w:r>
      <w:r w:rsidR="00B0733B">
        <w:rPr>
          <w:b/>
          <w:color w:val="000000"/>
        </w:rPr>
        <w:t>d</w:t>
      </w:r>
      <w:proofErr w:type="spellEnd"/>
    </w:p>
    <w:p w14:paraId="67FA6D06" w14:textId="7762ABF4" w:rsidR="00686748" w:rsidRDefault="00686748" w:rsidP="00686748">
      <w:pPr>
        <w:spacing w:after="100" w:line="360" w:lineRule="auto"/>
        <w:jc w:val="center"/>
      </w:pPr>
      <w:r>
        <w:rPr>
          <w:b/>
          <w:color w:val="000000"/>
        </w:rPr>
        <w:t xml:space="preserve">                 </w:t>
      </w:r>
      <w:r>
        <w:t xml:space="preserve">Email: </w:t>
      </w:r>
      <w:hyperlink r:id="rId7" w:history="1">
        <w:r w:rsidR="00B0733B" w:rsidRPr="00EA09F3">
          <w:rPr>
            <w:rStyle w:val="Hyperlink"/>
          </w:rPr>
          <w:t>abouziedmz83@gmail.com</w:t>
        </w:r>
      </w:hyperlink>
    </w:p>
    <w:p w14:paraId="74AE1A65" w14:textId="1FD5B5ED" w:rsidR="00686748" w:rsidRDefault="00686748" w:rsidP="00686748">
      <w:pPr>
        <w:spacing w:after="100"/>
        <w:jc w:val="center"/>
        <w:rPr>
          <w:rStyle w:val="Hyperlink"/>
        </w:rPr>
      </w:pPr>
      <w:r>
        <w:t>Phone: 01001</w:t>
      </w:r>
      <w:r w:rsidR="00B0733B">
        <w:t>196707</w:t>
      </w:r>
    </w:p>
    <w:p w14:paraId="0B6B6716" w14:textId="0E3A9F62" w:rsidR="00AF0CD9" w:rsidRDefault="00AF0CD9" w:rsidP="007A7A63">
      <w:pPr>
        <w:spacing w:after="100" w:line="360" w:lineRule="auto"/>
        <w:jc w:val="center"/>
        <w:rPr>
          <w:rStyle w:val="Hyperlink"/>
        </w:rPr>
      </w:pPr>
    </w:p>
    <w:p w14:paraId="1197D42D" w14:textId="77777777" w:rsidR="00B0733B" w:rsidRPr="00896243" w:rsidRDefault="00B0733B" w:rsidP="00B0733B">
      <w:pPr>
        <w:spacing w:after="100" w:line="360" w:lineRule="auto"/>
        <w:jc w:val="both"/>
        <w:rPr>
          <w:rFonts w:asciiTheme="majorBidi" w:hAnsiTheme="majorBidi" w:cstheme="majorBidi"/>
          <w:b/>
          <w:bCs/>
          <w:color w:val="000000" w:themeColor="text1"/>
        </w:rPr>
      </w:pPr>
      <w:r w:rsidRPr="00896243">
        <w:rPr>
          <w:rFonts w:asciiTheme="majorBidi" w:hAnsiTheme="majorBidi" w:cstheme="majorBidi"/>
          <w:b/>
          <w:bCs/>
          <w:color w:val="000000" w:themeColor="text1"/>
        </w:rPr>
        <w:t>Abstract</w:t>
      </w:r>
    </w:p>
    <w:p w14:paraId="08B38171" w14:textId="77777777" w:rsidR="00B0733B" w:rsidRPr="00896243" w:rsidRDefault="00B0733B" w:rsidP="00B0733B">
      <w:pPr>
        <w:spacing w:after="100" w:line="360" w:lineRule="auto"/>
        <w:jc w:val="both"/>
        <w:rPr>
          <w:rFonts w:asciiTheme="majorBidi" w:hAnsiTheme="majorBidi" w:cstheme="majorBidi"/>
          <w:color w:val="000000" w:themeColor="text1"/>
          <w:rtl/>
        </w:rPr>
      </w:pPr>
      <w:r w:rsidRPr="00896243">
        <w:rPr>
          <w:rFonts w:asciiTheme="majorBidi" w:hAnsiTheme="majorBidi" w:cstheme="majorBidi"/>
          <w:b/>
          <w:bCs/>
          <w:color w:val="000000" w:themeColor="text1"/>
        </w:rPr>
        <w:t>Background</w:t>
      </w:r>
      <w:r w:rsidRPr="00896243">
        <w:rPr>
          <w:rFonts w:eastAsia="Helvetica Neue"/>
          <w:color w:val="000000" w:themeColor="text1"/>
          <w:sz w:val="22"/>
          <w:szCs w:val="22"/>
        </w:rPr>
        <w:t xml:space="preserve">: </w:t>
      </w:r>
      <w:r w:rsidRPr="00896243">
        <w:rPr>
          <w:rFonts w:asciiTheme="majorBidi" w:hAnsiTheme="majorBidi" w:cstheme="majorBidi"/>
          <w:color w:val="000000" w:themeColor="text1"/>
        </w:rPr>
        <w:t xml:space="preserve">Efficient surgical repair of </w:t>
      </w:r>
      <w:proofErr w:type="spellStart"/>
      <w:r w:rsidRPr="00896243">
        <w:rPr>
          <w:rFonts w:asciiTheme="majorBidi" w:hAnsiTheme="majorBidi" w:cstheme="majorBidi"/>
          <w:color w:val="000000" w:themeColor="text1"/>
        </w:rPr>
        <w:t>coxa</w:t>
      </w:r>
      <w:proofErr w:type="spellEnd"/>
      <w:r w:rsidRPr="00896243">
        <w:rPr>
          <w:rFonts w:asciiTheme="majorBidi" w:hAnsiTheme="majorBidi" w:cstheme="majorBidi"/>
          <w:color w:val="000000" w:themeColor="text1"/>
        </w:rPr>
        <w:t xml:space="preserve"> </w:t>
      </w:r>
      <w:proofErr w:type="spellStart"/>
      <w:r w:rsidRPr="00896243">
        <w:rPr>
          <w:rFonts w:asciiTheme="majorBidi" w:hAnsiTheme="majorBidi" w:cstheme="majorBidi"/>
          <w:color w:val="000000" w:themeColor="text1"/>
        </w:rPr>
        <w:t>vara</w:t>
      </w:r>
      <w:proofErr w:type="spellEnd"/>
      <w:r w:rsidRPr="00896243">
        <w:rPr>
          <w:rFonts w:asciiTheme="majorBidi" w:hAnsiTheme="majorBidi" w:cstheme="majorBidi"/>
          <w:color w:val="000000" w:themeColor="text1"/>
        </w:rPr>
        <w:t xml:space="preserve"> can be challenging, including thorough clinical and radiological evaluation, preoperative strategy, implant choice, and attentive surgical intervention. </w:t>
      </w:r>
    </w:p>
    <w:p w14:paraId="69797D47" w14:textId="77777777" w:rsidR="00B0733B" w:rsidRPr="00896243" w:rsidRDefault="00B0733B" w:rsidP="00B0733B">
      <w:pPr>
        <w:spacing w:after="100" w:line="360" w:lineRule="auto"/>
        <w:jc w:val="both"/>
        <w:rPr>
          <w:rFonts w:asciiTheme="majorBidi" w:hAnsiTheme="majorBidi" w:cstheme="majorBidi"/>
          <w:color w:val="000000" w:themeColor="text1"/>
          <w:rtl/>
        </w:rPr>
      </w:pPr>
      <w:r w:rsidRPr="00896243">
        <w:rPr>
          <w:rFonts w:asciiTheme="majorBidi" w:hAnsiTheme="majorBidi" w:cstheme="majorBidi"/>
          <w:b/>
          <w:bCs/>
          <w:color w:val="000000" w:themeColor="text1"/>
        </w:rPr>
        <w:t>Objectives</w:t>
      </w:r>
      <w:r w:rsidRPr="00896243">
        <w:rPr>
          <w:rFonts w:asciiTheme="majorBidi" w:hAnsiTheme="majorBidi" w:cstheme="majorBidi"/>
          <w:color w:val="000000" w:themeColor="text1"/>
        </w:rPr>
        <w:t xml:space="preserve">: To compare the outcome of surgical correction of developmental </w:t>
      </w:r>
      <w:proofErr w:type="spellStart"/>
      <w:r w:rsidRPr="00896243">
        <w:rPr>
          <w:rFonts w:asciiTheme="majorBidi" w:hAnsiTheme="majorBidi" w:cstheme="majorBidi"/>
          <w:color w:val="000000" w:themeColor="text1"/>
        </w:rPr>
        <w:t>coxa</w:t>
      </w:r>
      <w:proofErr w:type="spellEnd"/>
      <w:r w:rsidRPr="00896243">
        <w:rPr>
          <w:rFonts w:asciiTheme="majorBidi" w:hAnsiTheme="majorBidi" w:cstheme="majorBidi"/>
          <w:color w:val="000000" w:themeColor="text1"/>
        </w:rPr>
        <w:t xml:space="preserve"> </w:t>
      </w:r>
      <w:proofErr w:type="spellStart"/>
      <w:r w:rsidRPr="00896243">
        <w:rPr>
          <w:rFonts w:asciiTheme="majorBidi" w:hAnsiTheme="majorBidi" w:cstheme="majorBidi"/>
          <w:color w:val="000000" w:themeColor="text1"/>
        </w:rPr>
        <w:t>vara</w:t>
      </w:r>
      <w:proofErr w:type="spellEnd"/>
      <w:r w:rsidRPr="00896243">
        <w:rPr>
          <w:rFonts w:asciiTheme="majorBidi" w:hAnsiTheme="majorBidi" w:cstheme="majorBidi"/>
          <w:color w:val="000000" w:themeColor="text1"/>
        </w:rPr>
        <w:t xml:space="preserve"> with traditional plate versus </w:t>
      </w:r>
      <w:proofErr w:type="spellStart"/>
      <w:r w:rsidRPr="00896243">
        <w:rPr>
          <w:rFonts w:asciiTheme="majorBidi" w:hAnsiTheme="majorBidi" w:cstheme="majorBidi"/>
          <w:color w:val="000000" w:themeColor="text1"/>
        </w:rPr>
        <w:t>monolateral</w:t>
      </w:r>
      <w:proofErr w:type="spellEnd"/>
      <w:r w:rsidRPr="00896243">
        <w:rPr>
          <w:rFonts w:asciiTheme="majorBidi" w:hAnsiTheme="majorBidi" w:cstheme="majorBidi"/>
          <w:color w:val="000000" w:themeColor="text1"/>
        </w:rPr>
        <w:t xml:space="preserve"> external fixator.</w:t>
      </w:r>
    </w:p>
    <w:p w14:paraId="74C7F397" w14:textId="47C0F820" w:rsidR="00B0733B" w:rsidRPr="00896243" w:rsidRDefault="00B0733B" w:rsidP="00B0733B">
      <w:pPr>
        <w:spacing w:after="100" w:line="360" w:lineRule="auto"/>
        <w:jc w:val="both"/>
        <w:rPr>
          <w:rFonts w:asciiTheme="majorBidi" w:hAnsiTheme="majorBidi" w:cstheme="majorBidi"/>
          <w:color w:val="000000" w:themeColor="text1"/>
        </w:rPr>
      </w:pPr>
      <w:r w:rsidRPr="00896243">
        <w:rPr>
          <w:rFonts w:asciiTheme="majorBidi" w:hAnsiTheme="majorBidi" w:cstheme="majorBidi"/>
          <w:color w:val="000000" w:themeColor="text1"/>
        </w:rPr>
        <w:t xml:space="preserve">Methods: This study included 20 children with developmental </w:t>
      </w:r>
      <w:proofErr w:type="spellStart"/>
      <w:r w:rsidRPr="00896243">
        <w:rPr>
          <w:rFonts w:asciiTheme="majorBidi" w:hAnsiTheme="majorBidi" w:cstheme="majorBidi"/>
          <w:color w:val="000000" w:themeColor="text1"/>
        </w:rPr>
        <w:t>coxa</w:t>
      </w:r>
      <w:proofErr w:type="spellEnd"/>
      <w:r w:rsidRPr="00896243">
        <w:rPr>
          <w:rFonts w:asciiTheme="majorBidi" w:hAnsiTheme="majorBidi" w:cstheme="majorBidi"/>
          <w:color w:val="000000" w:themeColor="text1"/>
        </w:rPr>
        <w:t xml:space="preserve"> </w:t>
      </w:r>
      <w:proofErr w:type="spellStart"/>
      <w:r w:rsidRPr="00896243">
        <w:rPr>
          <w:rFonts w:asciiTheme="majorBidi" w:hAnsiTheme="majorBidi" w:cstheme="majorBidi"/>
          <w:color w:val="000000" w:themeColor="text1"/>
        </w:rPr>
        <w:t>vara</w:t>
      </w:r>
      <w:proofErr w:type="spellEnd"/>
      <w:r w:rsidRPr="00896243">
        <w:rPr>
          <w:rFonts w:asciiTheme="majorBidi" w:hAnsiTheme="majorBidi" w:cstheme="majorBidi"/>
          <w:color w:val="000000" w:themeColor="text1"/>
        </w:rPr>
        <w:t xml:space="preserve"> ,</w:t>
      </w:r>
      <w:r w:rsidRPr="00896243">
        <w:rPr>
          <w:rFonts w:ascii="Georgia" w:hAnsi="Georgia"/>
          <w:color w:val="000000" w:themeColor="text1"/>
          <w:sz w:val="27"/>
          <w:szCs w:val="27"/>
          <w:shd w:val="clear" w:color="auto" w:fill="FCFCFC"/>
        </w:rPr>
        <w:t>the  mean age at initial surgery was  10.1 </w:t>
      </w:r>
      <w:r w:rsidR="002C153C" w:rsidRPr="002C153C">
        <w:rPr>
          <w:rFonts w:ascii="Georgia" w:hAnsi="Georgia"/>
          <w:color w:val="000000" w:themeColor="text1"/>
          <w:sz w:val="27"/>
          <w:szCs w:val="27"/>
          <w:shd w:val="clear" w:color="auto" w:fill="FCFCFC"/>
        </w:rPr>
        <w:t>+20 122 215 4371</w:t>
      </w:r>
      <w:r w:rsidRPr="00896243">
        <w:rPr>
          <w:rFonts w:ascii="Georgia" w:hAnsi="Georgia"/>
          <w:color w:val="000000" w:themeColor="text1"/>
          <w:sz w:val="27"/>
          <w:szCs w:val="27"/>
          <w:shd w:val="clear" w:color="auto" w:fill="FCFCFC"/>
        </w:rPr>
        <w:t xml:space="preserve"> (range </w:t>
      </w:r>
      <w:r w:rsidRPr="00896243">
        <w:rPr>
          <w:rFonts w:asciiTheme="majorBidi" w:hAnsiTheme="majorBidi" w:cstheme="majorBidi"/>
          <w:color w:val="000000" w:themeColor="text1"/>
        </w:rPr>
        <w:t>7 to 11 years</w:t>
      </w:r>
      <w:r w:rsidRPr="00896243">
        <w:rPr>
          <w:rFonts w:ascii="Georgia" w:hAnsi="Georgia"/>
          <w:color w:val="000000" w:themeColor="text1"/>
          <w:sz w:val="27"/>
          <w:szCs w:val="27"/>
          <w:shd w:val="clear" w:color="auto" w:fill="FCFCFC"/>
        </w:rPr>
        <w:t>).</w:t>
      </w:r>
      <w:r w:rsidRPr="00896243">
        <w:rPr>
          <w:rFonts w:asciiTheme="majorBidi" w:hAnsiTheme="majorBidi" w:cstheme="majorBidi"/>
          <w:color w:val="000000" w:themeColor="text1"/>
        </w:rPr>
        <w:t xml:space="preserve">. The studied children were randomized and divided according to surgical management into; group (A) with </w:t>
      </w:r>
      <w:proofErr w:type="spellStart"/>
      <w:r w:rsidRPr="00896243">
        <w:rPr>
          <w:rFonts w:asciiTheme="majorBidi" w:hAnsiTheme="majorBidi" w:cstheme="majorBidi"/>
          <w:color w:val="000000" w:themeColor="text1"/>
        </w:rPr>
        <w:t>monolateral</w:t>
      </w:r>
      <w:proofErr w:type="spellEnd"/>
      <w:r w:rsidRPr="00896243">
        <w:rPr>
          <w:rFonts w:asciiTheme="majorBidi" w:hAnsiTheme="majorBidi" w:cstheme="majorBidi"/>
          <w:color w:val="000000" w:themeColor="text1"/>
        </w:rPr>
        <w:t xml:space="preserve"> external fixator and group (B) with traditional plate. </w:t>
      </w:r>
    </w:p>
    <w:p w14:paraId="35D8F027" w14:textId="77777777" w:rsidR="00B0733B" w:rsidRPr="00896243" w:rsidRDefault="00B0733B" w:rsidP="00B0733B">
      <w:pPr>
        <w:spacing w:after="100" w:line="360" w:lineRule="auto"/>
        <w:jc w:val="both"/>
        <w:rPr>
          <w:rFonts w:asciiTheme="majorBidi" w:hAnsiTheme="majorBidi" w:cstheme="majorBidi"/>
          <w:color w:val="000000" w:themeColor="text1"/>
          <w:rtl/>
        </w:rPr>
      </w:pPr>
      <w:proofErr w:type="spellStart"/>
      <w:r w:rsidRPr="00896243">
        <w:rPr>
          <w:rFonts w:asciiTheme="majorBidi" w:hAnsiTheme="majorBidi" w:cstheme="majorBidi"/>
          <w:color w:val="000000" w:themeColor="text1"/>
        </w:rPr>
        <w:t>Hilgenreiner</w:t>
      </w:r>
      <w:proofErr w:type="spellEnd"/>
      <w:r w:rsidRPr="00896243">
        <w:rPr>
          <w:rFonts w:asciiTheme="majorBidi" w:hAnsiTheme="majorBidi" w:cstheme="majorBidi"/>
          <w:color w:val="000000" w:themeColor="text1"/>
        </w:rPr>
        <w:t>-epiphyseal angle (HEA) and the femoral neck-shaft angle (FNSA) were measured before surgery and at latest follow-up.</w:t>
      </w:r>
    </w:p>
    <w:p w14:paraId="5E81CB3A" w14:textId="77777777" w:rsidR="00B0733B" w:rsidRPr="00896243" w:rsidRDefault="00B0733B" w:rsidP="00B0733B">
      <w:pPr>
        <w:spacing w:after="100" w:line="360" w:lineRule="auto"/>
        <w:jc w:val="both"/>
        <w:rPr>
          <w:rFonts w:asciiTheme="majorBidi" w:hAnsiTheme="majorBidi" w:cstheme="majorBidi"/>
          <w:color w:val="000000" w:themeColor="text1"/>
        </w:rPr>
      </w:pPr>
      <w:r w:rsidRPr="00896243">
        <w:rPr>
          <w:rFonts w:asciiTheme="majorBidi" w:hAnsiTheme="majorBidi" w:cstheme="majorBidi"/>
          <w:b/>
          <w:bCs/>
          <w:color w:val="000000" w:themeColor="text1"/>
        </w:rPr>
        <w:t>Results:</w:t>
      </w:r>
      <w:r w:rsidRPr="00896243">
        <w:rPr>
          <w:rFonts w:asciiTheme="majorBidi" w:hAnsiTheme="majorBidi" w:cstheme="majorBidi"/>
          <w:color w:val="000000" w:themeColor="text1"/>
        </w:rPr>
        <w:t xml:space="preserve"> After treatment, the mean FNSA in fixator group was significantly increased to 129.10± 3.35 degrees and in plate group significantly increased to 125.40± 3.17 degrees.  Postoperatively, we recorded a mean ATD of 11.70± 3.20 mm, with significant changes (p=0.005) in fixator group </w:t>
      </w:r>
      <w:r w:rsidRPr="00896243">
        <w:rPr>
          <w:rFonts w:asciiTheme="majorBidi" w:hAnsiTheme="majorBidi" w:cstheme="majorBidi"/>
          <w:color w:val="000000" w:themeColor="text1"/>
        </w:rPr>
        <w:lastRenderedPageBreak/>
        <w:t xml:space="preserve">and plate group showed a mean ATD of 8.70± 2.15 mm, with significant changes (p=0.005). Postoperative FNSA and ATD improved significantly in fixator group than plate group (p=0.021 &amp; 0.024, respectively). There was a significant decrease in HE angles postoperative compared to preoperative in both groups (p=0.005). Also, postoperative HE angles improved significantly in fixator group than plate group (p=0.044). </w:t>
      </w:r>
    </w:p>
    <w:p w14:paraId="345E5FB7" w14:textId="77777777" w:rsidR="00B0733B" w:rsidRPr="00896243" w:rsidRDefault="00B0733B" w:rsidP="00B0733B">
      <w:pPr>
        <w:spacing w:line="360" w:lineRule="auto"/>
        <w:rPr>
          <w:rFonts w:asciiTheme="majorBidi" w:hAnsiTheme="majorBidi" w:cstheme="majorBidi"/>
          <w:color w:val="000000" w:themeColor="text1"/>
        </w:rPr>
      </w:pPr>
      <w:r w:rsidRPr="00896243">
        <w:rPr>
          <w:rFonts w:asciiTheme="majorBidi" w:hAnsiTheme="majorBidi" w:cstheme="majorBidi"/>
          <w:b/>
          <w:bCs/>
          <w:color w:val="000000" w:themeColor="text1"/>
        </w:rPr>
        <w:t>Conclusion:</w:t>
      </w:r>
      <w:r w:rsidRPr="00896243">
        <w:rPr>
          <w:rFonts w:asciiTheme="majorBidi" w:hAnsiTheme="majorBidi" w:cstheme="majorBidi"/>
          <w:color w:val="000000" w:themeColor="text1"/>
        </w:rPr>
        <w:t xml:space="preserve"> Surgical correction of </w:t>
      </w:r>
      <w:proofErr w:type="spellStart"/>
      <w:r w:rsidRPr="00896243">
        <w:rPr>
          <w:rFonts w:asciiTheme="majorBidi" w:hAnsiTheme="majorBidi" w:cstheme="majorBidi"/>
          <w:color w:val="000000" w:themeColor="text1"/>
        </w:rPr>
        <w:t>coxa</w:t>
      </w:r>
      <w:proofErr w:type="spellEnd"/>
      <w:r w:rsidRPr="00896243">
        <w:rPr>
          <w:rFonts w:asciiTheme="majorBidi" w:hAnsiTheme="majorBidi" w:cstheme="majorBidi"/>
          <w:color w:val="000000" w:themeColor="text1"/>
        </w:rPr>
        <w:t xml:space="preserve"> </w:t>
      </w:r>
      <w:proofErr w:type="spellStart"/>
      <w:r w:rsidRPr="00896243">
        <w:rPr>
          <w:rFonts w:asciiTheme="majorBidi" w:hAnsiTheme="majorBidi" w:cstheme="majorBidi"/>
          <w:color w:val="000000" w:themeColor="text1"/>
        </w:rPr>
        <w:t>vara</w:t>
      </w:r>
      <w:proofErr w:type="spellEnd"/>
      <w:r w:rsidRPr="00896243">
        <w:rPr>
          <w:rFonts w:asciiTheme="majorBidi" w:hAnsiTheme="majorBidi" w:cstheme="majorBidi"/>
          <w:color w:val="000000" w:themeColor="text1"/>
        </w:rPr>
        <w:t xml:space="preserve"> by </w:t>
      </w:r>
      <w:proofErr w:type="spellStart"/>
      <w:r w:rsidRPr="00896243">
        <w:rPr>
          <w:rFonts w:asciiTheme="majorBidi" w:hAnsiTheme="majorBidi" w:cstheme="majorBidi"/>
          <w:color w:val="000000" w:themeColor="text1"/>
        </w:rPr>
        <w:t>monolateral</w:t>
      </w:r>
      <w:proofErr w:type="spellEnd"/>
      <w:r w:rsidRPr="00896243">
        <w:rPr>
          <w:rFonts w:asciiTheme="majorBidi" w:hAnsiTheme="majorBidi" w:cstheme="majorBidi"/>
          <w:color w:val="000000" w:themeColor="text1"/>
        </w:rPr>
        <w:t xml:space="preserve"> external fixator have a higher significant outcome than plate with easily reproducible, efficient in deformity correction and no evidence of deformity recurrence.</w:t>
      </w:r>
    </w:p>
    <w:p w14:paraId="238ABBAF" w14:textId="77777777" w:rsidR="00B0733B" w:rsidRPr="00896243" w:rsidRDefault="00B0733B" w:rsidP="00B0733B">
      <w:pPr>
        <w:spacing w:line="360" w:lineRule="auto"/>
        <w:rPr>
          <w:rFonts w:ascii="Times New Roman" w:eastAsia="Helvetica Neue" w:hAnsi="Times New Roman" w:cs="Times New Roman"/>
          <w:color w:val="000000" w:themeColor="text1"/>
        </w:rPr>
      </w:pPr>
      <w:r w:rsidRPr="00896243">
        <w:rPr>
          <w:rFonts w:ascii="Times New Roman" w:eastAsia="Helvetica Neue" w:hAnsi="Times New Roman" w:cs="Times New Roman"/>
          <w:b/>
          <w:bCs/>
          <w:color w:val="000000" w:themeColor="text1"/>
        </w:rPr>
        <w:t>Keywords:</w:t>
      </w:r>
      <w:r w:rsidRPr="00896243">
        <w:rPr>
          <w:rFonts w:ascii="Times New Roman" w:eastAsia="Helvetica Neue" w:hAnsi="Times New Roman" w:cs="Times New Roman"/>
          <w:color w:val="000000" w:themeColor="text1"/>
        </w:rPr>
        <w:t xml:space="preserve"> </w:t>
      </w:r>
      <w:proofErr w:type="spellStart"/>
      <w:r w:rsidRPr="00896243">
        <w:rPr>
          <w:rFonts w:ascii="Times New Roman" w:eastAsia="Helvetica Neue" w:hAnsi="Times New Roman" w:cs="Times New Roman"/>
          <w:color w:val="000000" w:themeColor="text1"/>
        </w:rPr>
        <w:t>Coxa</w:t>
      </w:r>
      <w:proofErr w:type="spellEnd"/>
      <w:r w:rsidRPr="00896243">
        <w:rPr>
          <w:rFonts w:ascii="Times New Roman" w:eastAsia="Helvetica Neue" w:hAnsi="Times New Roman" w:cs="Times New Roman"/>
          <w:color w:val="000000" w:themeColor="text1"/>
        </w:rPr>
        <w:t xml:space="preserve"> </w:t>
      </w:r>
      <w:proofErr w:type="spellStart"/>
      <w:r w:rsidRPr="00896243">
        <w:rPr>
          <w:rFonts w:ascii="Times New Roman" w:eastAsia="Helvetica Neue" w:hAnsi="Times New Roman" w:cs="Times New Roman"/>
          <w:color w:val="000000" w:themeColor="text1"/>
        </w:rPr>
        <w:t>Vara</w:t>
      </w:r>
      <w:proofErr w:type="spellEnd"/>
      <w:r w:rsidRPr="00896243">
        <w:rPr>
          <w:rFonts w:ascii="Times New Roman" w:eastAsia="Helvetica Neue" w:hAnsi="Times New Roman" w:cs="Times New Roman"/>
          <w:color w:val="000000" w:themeColor="text1"/>
        </w:rPr>
        <w:t xml:space="preserve">, Valgus Osteotomy, </w:t>
      </w:r>
      <w:proofErr w:type="spellStart"/>
      <w:r w:rsidRPr="00896243">
        <w:rPr>
          <w:rFonts w:ascii="Times New Roman" w:eastAsia="Helvetica Neue" w:hAnsi="Times New Roman" w:cs="Times New Roman"/>
          <w:color w:val="000000" w:themeColor="text1"/>
        </w:rPr>
        <w:t>Monolateral</w:t>
      </w:r>
      <w:proofErr w:type="spellEnd"/>
      <w:r w:rsidRPr="00896243">
        <w:rPr>
          <w:rFonts w:ascii="Times New Roman" w:eastAsia="Helvetica Neue" w:hAnsi="Times New Roman" w:cs="Times New Roman"/>
          <w:color w:val="000000" w:themeColor="text1"/>
        </w:rPr>
        <w:t xml:space="preserve"> External Fixator</w:t>
      </w:r>
    </w:p>
    <w:p w14:paraId="1C4EF800" w14:textId="77777777" w:rsidR="00B0733B" w:rsidRPr="00896243" w:rsidRDefault="00B0733B" w:rsidP="00B0733B">
      <w:pPr>
        <w:spacing w:after="100" w:line="360" w:lineRule="auto"/>
        <w:jc w:val="both"/>
        <w:rPr>
          <w:rFonts w:asciiTheme="majorBidi" w:hAnsiTheme="majorBidi" w:cstheme="majorBidi"/>
          <w:color w:val="000000" w:themeColor="text1"/>
          <w:rtl/>
        </w:rPr>
      </w:pPr>
    </w:p>
    <w:p w14:paraId="1C8CE029" w14:textId="77777777" w:rsidR="00B0733B" w:rsidRPr="00896243" w:rsidRDefault="00B0733B" w:rsidP="00B0733B">
      <w:pPr>
        <w:spacing w:after="100" w:line="360" w:lineRule="auto"/>
        <w:jc w:val="both"/>
        <w:rPr>
          <w:rFonts w:asciiTheme="majorBidi" w:hAnsiTheme="majorBidi" w:cstheme="majorBidi"/>
          <w:b/>
          <w:bCs/>
          <w:color w:val="000000" w:themeColor="text1"/>
        </w:rPr>
      </w:pPr>
      <w:r w:rsidRPr="00896243">
        <w:rPr>
          <w:rFonts w:asciiTheme="majorBidi" w:hAnsiTheme="majorBidi" w:cstheme="majorBidi"/>
          <w:b/>
          <w:bCs/>
          <w:color w:val="000000" w:themeColor="text1"/>
        </w:rPr>
        <w:t xml:space="preserve">Introduction </w:t>
      </w:r>
    </w:p>
    <w:p w14:paraId="6380354C"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color w:val="000000" w:themeColor="text1"/>
        </w:rPr>
      </w:pPr>
      <w:r w:rsidRPr="00896243">
        <w:rPr>
          <w:rFonts w:asciiTheme="majorBidi" w:hAnsiTheme="majorBidi" w:cstheme="majorBidi"/>
          <w:color w:val="000000" w:themeColor="text1"/>
        </w:rPr>
        <w:t xml:space="preserve">Congenital </w:t>
      </w:r>
      <w:proofErr w:type="spellStart"/>
      <w:r w:rsidRPr="00896243">
        <w:rPr>
          <w:rFonts w:asciiTheme="majorBidi" w:hAnsiTheme="majorBidi" w:cstheme="majorBidi"/>
          <w:color w:val="000000" w:themeColor="text1"/>
        </w:rPr>
        <w:t>coxa</w:t>
      </w:r>
      <w:proofErr w:type="spellEnd"/>
      <w:r w:rsidRPr="00896243">
        <w:rPr>
          <w:rFonts w:asciiTheme="majorBidi" w:hAnsiTheme="majorBidi" w:cstheme="majorBidi"/>
          <w:color w:val="000000" w:themeColor="text1"/>
        </w:rPr>
        <w:t xml:space="preserve"> </w:t>
      </w:r>
      <w:proofErr w:type="spellStart"/>
      <w:r w:rsidRPr="00896243">
        <w:rPr>
          <w:rFonts w:asciiTheme="majorBidi" w:hAnsiTheme="majorBidi" w:cstheme="majorBidi"/>
          <w:color w:val="000000" w:themeColor="text1"/>
        </w:rPr>
        <w:t>vara</w:t>
      </w:r>
      <w:proofErr w:type="spellEnd"/>
      <w:r w:rsidRPr="00896243">
        <w:rPr>
          <w:rFonts w:asciiTheme="majorBidi" w:hAnsiTheme="majorBidi" w:cstheme="majorBidi"/>
          <w:color w:val="000000" w:themeColor="text1"/>
        </w:rPr>
        <w:t xml:space="preserve"> is a developmental malformation </w:t>
      </w:r>
      <w:proofErr w:type="spellStart"/>
      <w:r w:rsidRPr="00896243">
        <w:rPr>
          <w:rFonts w:asciiTheme="majorBidi" w:hAnsiTheme="majorBidi" w:cstheme="majorBidi"/>
          <w:color w:val="000000" w:themeColor="text1"/>
        </w:rPr>
        <w:t>characterised</w:t>
      </w:r>
      <w:proofErr w:type="spellEnd"/>
      <w:r w:rsidRPr="00896243">
        <w:rPr>
          <w:rFonts w:asciiTheme="majorBidi" w:hAnsiTheme="majorBidi" w:cstheme="majorBidi"/>
          <w:color w:val="000000" w:themeColor="text1"/>
        </w:rPr>
        <w:t xml:space="preserve"> by a primary cartilaginous deficiency of femoral neck with an atypical reduction in the femoral neck-shaft angle (FNSA), greater trochanter overgrowth, femoral neck and lower limb shortening. Generally, the deformity is either absent at birth or didn't notified. This deformity is caused by a variety of disorders that can be classed as congenital, developmental, dysplastic, or traumatic. </w:t>
      </w:r>
      <w:r w:rsidRPr="00896243">
        <w:rPr>
          <w:rFonts w:asciiTheme="majorBidi" w:hAnsiTheme="majorBidi" w:cstheme="majorBidi"/>
          <w:color w:val="000000" w:themeColor="text1"/>
          <w:vertAlign w:val="superscript"/>
        </w:rPr>
        <w:t>1</w:t>
      </w:r>
    </w:p>
    <w:p w14:paraId="48898B7C"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color w:val="000000" w:themeColor="text1"/>
        </w:rPr>
      </w:pPr>
      <w:r w:rsidRPr="00896243">
        <w:rPr>
          <w:rFonts w:asciiTheme="majorBidi" w:hAnsiTheme="majorBidi" w:cstheme="majorBidi"/>
          <w:color w:val="000000" w:themeColor="text1"/>
        </w:rPr>
        <w:t xml:space="preserve">The nature of </w:t>
      </w:r>
      <w:proofErr w:type="spellStart"/>
      <w:r w:rsidRPr="00896243">
        <w:rPr>
          <w:rFonts w:asciiTheme="majorBidi" w:hAnsiTheme="majorBidi" w:cstheme="majorBidi"/>
          <w:color w:val="000000" w:themeColor="text1"/>
        </w:rPr>
        <w:t>coxa</w:t>
      </w:r>
      <w:proofErr w:type="spellEnd"/>
      <w:r w:rsidRPr="00896243">
        <w:rPr>
          <w:rFonts w:asciiTheme="majorBidi" w:hAnsiTheme="majorBidi" w:cstheme="majorBidi"/>
          <w:color w:val="000000" w:themeColor="text1"/>
        </w:rPr>
        <w:t xml:space="preserve"> </w:t>
      </w:r>
      <w:proofErr w:type="spellStart"/>
      <w:r w:rsidRPr="00896243">
        <w:rPr>
          <w:rFonts w:asciiTheme="majorBidi" w:hAnsiTheme="majorBidi" w:cstheme="majorBidi"/>
          <w:color w:val="000000" w:themeColor="text1"/>
        </w:rPr>
        <w:t>vara</w:t>
      </w:r>
      <w:proofErr w:type="spellEnd"/>
      <w:r w:rsidRPr="00896243">
        <w:rPr>
          <w:rFonts w:asciiTheme="majorBidi" w:hAnsiTheme="majorBidi" w:cstheme="majorBidi"/>
          <w:color w:val="000000" w:themeColor="text1"/>
        </w:rPr>
        <w:t xml:space="preserve"> can be severe, as the child develops growing limb length disparity, limp, discomfort, abductor weakness, and limited mobility. Developmental </w:t>
      </w:r>
      <w:proofErr w:type="spellStart"/>
      <w:r w:rsidRPr="00896243">
        <w:rPr>
          <w:rFonts w:asciiTheme="majorBidi" w:hAnsiTheme="majorBidi" w:cstheme="majorBidi"/>
          <w:color w:val="000000" w:themeColor="text1"/>
        </w:rPr>
        <w:t>coxa</w:t>
      </w:r>
      <w:proofErr w:type="spellEnd"/>
      <w:r w:rsidRPr="00896243">
        <w:rPr>
          <w:rFonts w:asciiTheme="majorBidi" w:hAnsiTheme="majorBidi" w:cstheme="majorBidi"/>
          <w:color w:val="000000" w:themeColor="text1"/>
        </w:rPr>
        <w:t xml:space="preserve"> </w:t>
      </w:r>
      <w:proofErr w:type="spellStart"/>
      <w:r w:rsidRPr="00896243">
        <w:rPr>
          <w:rFonts w:asciiTheme="majorBidi" w:hAnsiTheme="majorBidi" w:cstheme="majorBidi"/>
          <w:color w:val="000000" w:themeColor="text1"/>
        </w:rPr>
        <w:t>vara</w:t>
      </w:r>
      <w:proofErr w:type="spellEnd"/>
      <w:r w:rsidRPr="00896243">
        <w:rPr>
          <w:rFonts w:asciiTheme="majorBidi" w:hAnsiTheme="majorBidi" w:cstheme="majorBidi"/>
          <w:color w:val="000000" w:themeColor="text1"/>
        </w:rPr>
        <w:t xml:space="preserve"> is idiopathic disorder caused by a main deficiency in the endochondral ossification of the medial portion of the femoral neck.. </w:t>
      </w:r>
      <w:r w:rsidRPr="00896243">
        <w:rPr>
          <w:rFonts w:asciiTheme="majorBidi" w:hAnsiTheme="majorBidi" w:cstheme="majorBidi"/>
          <w:color w:val="000000" w:themeColor="text1"/>
          <w:vertAlign w:val="superscript"/>
        </w:rPr>
        <w:t>2</w:t>
      </w:r>
    </w:p>
    <w:p w14:paraId="5FB8FCF2"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color w:val="000000" w:themeColor="text1"/>
        </w:rPr>
      </w:pPr>
      <w:r w:rsidRPr="00896243">
        <w:rPr>
          <w:rFonts w:asciiTheme="majorBidi" w:hAnsiTheme="majorBidi" w:cstheme="majorBidi"/>
          <w:color w:val="000000" w:themeColor="text1"/>
        </w:rPr>
        <w:t>Many surgical techniques have emerged to treat developmental coxa vara.</w:t>
      </w:r>
      <w:r w:rsidRPr="00896243">
        <w:rPr>
          <w:rFonts w:asciiTheme="majorBidi" w:hAnsiTheme="majorBidi" w:cstheme="majorBidi"/>
          <w:color w:val="000000" w:themeColor="text1"/>
          <w:vertAlign w:val="superscript"/>
        </w:rPr>
        <w:t>3</w:t>
      </w:r>
      <w:r w:rsidRPr="00896243">
        <w:rPr>
          <w:rFonts w:asciiTheme="majorBidi" w:hAnsiTheme="majorBidi" w:cstheme="majorBidi"/>
          <w:color w:val="000000" w:themeColor="text1"/>
        </w:rPr>
        <w:t xml:space="preserve"> Despite well-executed osteotomies, recurrence rates range from 30% to 70%.</w:t>
      </w:r>
      <w:r w:rsidRPr="00896243">
        <w:rPr>
          <w:rFonts w:asciiTheme="majorBidi" w:hAnsiTheme="majorBidi" w:cstheme="majorBidi"/>
          <w:color w:val="000000" w:themeColor="text1"/>
          <w:vertAlign w:val="superscript"/>
        </w:rPr>
        <w:t>4</w:t>
      </w:r>
      <w:r w:rsidRPr="00896243">
        <w:rPr>
          <w:rFonts w:asciiTheme="majorBidi" w:hAnsiTheme="majorBidi" w:cstheme="majorBidi"/>
          <w:color w:val="000000" w:themeColor="text1"/>
        </w:rPr>
        <w:t xml:space="preserve"> This high rate explained by disease biomechanics. As the physis acquires a more vertical posture, </w:t>
      </w:r>
      <w:proofErr w:type="spellStart"/>
      <w:r w:rsidRPr="00896243">
        <w:rPr>
          <w:rFonts w:asciiTheme="majorBidi" w:hAnsiTheme="majorBidi" w:cstheme="majorBidi"/>
          <w:color w:val="000000" w:themeColor="text1"/>
        </w:rPr>
        <w:t>Coxa</w:t>
      </w:r>
      <w:proofErr w:type="spellEnd"/>
      <w:r w:rsidRPr="00896243">
        <w:rPr>
          <w:rFonts w:asciiTheme="majorBidi" w:hAnsiTheme="majorBidi" w:cstheme="majorBidi"/>
          <w:color w:val="000000" w:themeColor="text1"/>
        </w:rPr>
        <w:t xml:space="preserve"> </w:t>
      </w:r>
      <w:proofErr w:type="spellStart"/>
      <w:r w:rsidRPr="00896243">
        <w:rPr>
          <w:rFonts w:asciiTheme="majorBidi" w:hAnsiTheme="majorBidi" w:cstheme="majorBidi"/>
          <w:color w:val="000000" w:themeColor="text1"/>
        </w:rPr>
        <w:t>vara</w:t>
      </w:r>
      <w:proofErr w:type="spellEnd"/>
      <w:r w:rsidRPr="00896243">
        <w:rPr>
          <w:rFonts w:asciiTheme="majorBidi" w:hAnsiTheme="majorBidi" w:cstheme="majorBidi"/>
          <w:color w:val="000000" w:themeColor="text1"/>
        </w:rPr>
        <w:t xml:space="preserve"> lends itself to advancement. As a result, the forces acting through the hip became shearing rather than compressive. </w:t>
      </w:r>
      <w:r w:rsidRPr="00896243">
        <w:rPr>
          <w:rFonts w:asciiTheme="majorBidi" w:hAnsiTheme="majorBidi" w:cstheme="majorBidi"/>
          <w:color w:val="000000" w:themeColor="text1"/>
          <w:vertAlign w:val="superscript"/>
        </w:rPr>
        <w:t>5</w:t>
      </w:r>
    </w:p>
    <w:p w14:paraId="56CCB524"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color w:val="000000" w:themeColor="text1"/>
        </w:rPr>
      </w:pPr>
      <w:r w:rsidRPr="00896243">
        <w:rPr>
          <w:rFonts w:asciiTheme="majorBidi" w:hAnsiTheme="majorBidi" w:cstheme="majorBidi"/>
          <w:color w:val="000000" w:themeColor="text1"/>
        </w:rPr>
        <w:t xml:space="preserve">Efficient surgical repair of </w:t>
      </w:r>
      <w:proofErr w:type="spellStart"/>
      <w:r w:rsidRPr="00896243">
        <w:rPr>
          <w:rFonts w:asciiTheme="majorBidi" w:hAnsiTheme="majorBidi" w:cstheme="majorBidi"/>
          <w:color w:val="000000" w:themeColor="text1"/>
        </w:rPr>
        <w:t>coxa</w:t>
      </w:r>
      <w:proofErr w:type="spellEnd"/>
      <w:r w:rsidRPr="00896243">
        <w:rPr>
          <w:rFonts w:asciiTheme="majorBidi" w:hAnsiTheme="majorBidi" w:cstheme="majorBidi"/>
          <w:color w:val="000000" w:themeColor="text1"/>
        </w:rPr>
        <w:t xml:space="preserve"> </w:t>
      </w:r>
      <w:proofErr w:type="spellStart"/>
      <w:r w:rsidRPr="00896243">
        <w:rPr>
          <w:rFonts w:asciiTheme="majorBidi" w:hAnsiTheme="majorBidi" w:cstheme="majorBidi"/>
          <w:color w:val="000000" w:themeColor="text1"/>
        </w:rPr>
        <w:t>vara</w:t>
      </w:r>
      <w:proofErr w:type="spellEnd"/>
      <w:r w:rsidRPr="00896243">
        <w:rPr>
          <w:rFonts w:asciiTheme="majorBidi" w:hAnsiTheme="majorBidi" w:cstheme="majorBidi"/>
          <w:color w:val="000000" w:themeColor="text1"/>
        </w:rPr>
        <w:t xml:space="preserve"> can be challenging, including thorough clinical and radiological evaluation, preoperative strategy, implant choice, and attentive surgical intervention. Normalizing the biomechanical forces will be aided by restoring the femoral capital physis to an approximately horizontal posture. The objective of surgical correction is to reduce </w:t>
      </w:r>
      <w:proofErr w:type="spellStart"/>
      <w:r w:rsidRPr="00896243">
        <w:rPr>
          <w:rFonts w:asciiTheme="majorBidi" w:hAnsiTheme="majorBidi" w:cstheme="majorBidi"/>
          <w:color w:val="000000" w:themeColor="text1"/>
        </w:rPr>
        <w:t>Hilgenreiner's</w:t>
      </w:r>
      <w:proofErr w:type="spellEnd"/>
      <w:r w:rsidRPr="00896243">
        <w:rPr>
          <w:rFonts w:asciiTheme="majorBidi" w:hAnsiTheme="majorBidi" w:cstheme="majorBidi"/>
          <w:color w:val="000000" w:themeColor="text1"/>
        </w:rPr>
        <w:t xml:space="preserve"> epiphyseal angle (HEA) to less than 38°. This has been found to lower the chance of recurrent </w:t>
      </w:r>
      <w:proofErr w:type="spellStart"/>
      <w:r w:rsidRPr="00896243">
        <w:rPr>
          <w:rFonts w:asciiTheme="majorBidi" w:hAnsiTheme="majorBidi" w:cstheme="majorBidi"/>
          <w:color w:val="000000" w:themeColor="text1"/>
        </w:rPr>
        <w:t>coxa</w:t>
      </w:r>
      <w:proofErr w:type="spellEnd"/>
      <w:r w:rsidRPr="00896243">
        <w:rPr>
          <w:rFonts w:asciiTheme="majorBidi" w:hAnsiTheme="majorBidi" w:cstheme="majorBidi"/>
          <w:color w:val="000000" w:themeColor="text1"/>
        </w:rPr>
        <w:t xml:space="preserve"> </w:t>
      </w:r>
      <w:proofErr w:type="spellStart"/>
      <w:r w:rsidRPr="00896243">
        <w:rPr>
          <w:rFonts w:asciiTheme="majorBidi" w:hAnsiTheme="majorBidi" w:cstheme="majorBidi"/>
          <w:color w:val="000000" w:themeColor="text1"/>
        </w:rPr>
        <w:t>vara</w:t>
      </w:r>
      <w:proofErr w:type="spellEnd"/>
      <w:r w:rsidRPr="00896243">
        <w:rPr>
          <w:rFonts w:asciiTheme="majorBidi" w:hAnsiTheme="majorBidi" w:cstheme="majorBidi"/>
          <w:color w:val="000000" w:themeColor="text1"/>
        </w:rPr>
        <w:t xml:space="preserve">, independent of deformity cause or age of the patient. </w:t>
      </w:r>
      <w:r w:rsidRPr="00896243">
        <w:rPr>
          <w:rFonts w:asciiTheme="majorBidi" w:hAnsiTheme="majorBidi" w:cstheme="majorBidi"/>
          <w:color w:val="000000" w:themeColor="text1"/>
          <w:vertAlign w:val="superscript"/>
        </w:rPr>
        <w:t>6</w:t>
      </w:r>
    </w:p>
    <w:p w14:paraId="064E0F22"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color w:val="000000" w:themeColor="text1"/>
        </w:rPr>
      </w:pPr>
      <w:r w:rsidRPr="00896243">
        <w:rPr>
          <w:rFonts w:asciiTheme="majorBidi" w:hAnsiTheme="majorBidi" w:cstheme="majorBidi"/>
          <w:color w:val="000000" w:themeColor="text1"/>
        </w:rPr>
        <w:t xml:space="preserve">It is reported that valgus osteotomy at the trochanteric or subtrochanteric level is the most reliable way for performing the surgical repair, which includes adjustments of the neck shaft angle and horizontal reorientation of the growth plate. Nonetheless, there is no agreement in the literature on the mechanics of osteotomy and fixation procedure. </w:t>
      </w:r>
      <w:r w:rsidRPr="00896243">
        <w:rPr>
          <w:rFonts w:asciiTheme="majorBidi" w:hAnsiTheme="majorBidi" w:cstheme="majorBidi"/>
          <w:color w:val="000000" w:themeColor="text1"/>
          <w:vertAlign w:val="superscript"/>
        </w:rPr>
        <w:t>7,8</w:t>
      </w:r>
      <w:r w:rsidRPr="00896243">
        <w:rPr>
          <w:rFonts w:asciiTheme="majorBidi" w:hAnsiTheme="majorBidi" w:cstheme="majorBidi"/>
          <w:color w:val="000000" w:themeColor="text1"/>
        </w:rPr>
        <w:t xml:space="preserve"> Our rational is compare the outcome of surgical correction</w:t>
      </w:r>
      <w:r w:rsidRPr="00896243">
        <w:rPr>
          <w:rFonts w:asciiTheme="majorBidi" w:hAnsiTheme="majorBidi" w:cstheme="majorBidi"/>
          <w:color w:val="000000" w:themeColor="text1"/>
          <w:rtl/>
        </w:rPr>
        <w:t xml:space="preserve"> </w:t>
      </w:r>
      <w:r w:rsidRPr="00896243">
        <w:rPr>
          <w:rFonts w:asciiTheme="majorBidi" w:hAnsiTheme="majorBidi" w:cstheme="majorBidi"/>
          <w:color w:val="000000" w:themeColor="text1"/>
        </w:rPr>
        <w:t xml:space="preserve">of developmental </w:t>
      </w:r>
      <w:proofErr w:type="spellStart"/>
      <w:r w:rsidRPr="00896243">
        <w:rPr>
          <w:rFonts w:asciiTheme="majorBidi" w:hAnsiTheme="majorBidi" w:cstheme="majorBidi"/>
          <w:color w:val="000000" w:themeColor="text1"/>
        </w:rPr>
        <w:t>coxa</w:t>
      </w:r>
      <w:proofErr w:type="spellEnd"/>
      <w:r w:rsidRPr="00896243">
        <w:rPr>
          <w:rFonts w:asciiTheme="majorBidi" w:hAnsiTheme="majorBidi" w:cstheme="majorBidi"/>
          <w:color w:val="000000" w:themeColor="text1"/>
        </w:rPr>
        <w:t xml:space="preserve"> </w:t>
      </w:r>
      <w:proofErr w:type="spellStart"/>
      <w:r w:rsidRPr="00896243">
        <w:rPr>
          <w:rFonts w:asciiTheme="majorBidi" w:hAnsiTheme="majorBidi" w:cstheme="majorBidi"/>
          <w:color w:val="000000" w:themeColor="text1"/>
        </w:rPr>
        <w:t>vara</w:t>
      </w:r>
      <w:proofErr w:type="spellEnd"/>
      <w:r w:rsidRPr="00896243">
        <w:rPr>
          <w:rFonts w:asciiTheme="majorBidi" w:hAnsiTheme="majorBidi" w:cstheme="majorBidi"/>
          <w:color w:val="000000" w:themeColor="text1"/>
        </w:rPr>
        <w:t xml:space="preserve"> with </w:t>
      </w:r>
      <w:bookmarkStart w:id="6" w:name="_Hlk100790659"/>
      <w:r w:rsidRPr="00896243">
        <w:rPr>
          <w:rFonts w:asciiTheme="majorBidi" w:hAnsiTheme="majorBidi" w:cstheme="majorBidi"/>
          <w:color w:val="000000" w:themeColor="text1"/>
        </w:rPr>
        <w:t xml:space="preserve">traditional plate versus </w:t>
      </w:r>
      <w:proofErr w:type="spellStart"/>
      <w:r w:rsidRPr="00896243">
        <w:rPr>
          <w:rFonts w:asciiTheme="majorBidi" w:hAnsiTheme="majorBidi" w:cstheme="majorBidi"/>
          <w:color w:val="000000" w:themeColor="text1"/>
        </w:rPr>
        <w:t>monolateral</w:t>
      </w:r>
      <w:proofErr w:type="spellEnd"/>
      <w:r w:rsidRPr="00896243">
        <w:rPr>
          <w:rFonts w:asciiTheme="majorBidi" w:hAnsiTheme="majorBidi" w:cstheme="majorBidi"/>
          <w:color w:val="000000" w:themeColor="text1"/>
        </w:rPr>
        <w:t xml:space="preserve"> external fixation.</w:t>
      </w:r>
    </w:p>
    <w:bookmarkEnd w:id="6"/>
    <w:p w14:paraId="7BA731C9"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color w:val="000000" w:themeColor="text1"/>
        </w:rPr>
      </w:pPr>
    </w:p>
    <w:p w14:paraId="582DF330"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b/>
          <w:bCs/>
          <w:color w:val="000000" w:themeColor="text1"/>
        </w:rPr>
      </w:pPr>
      <w:r w:rsidRPr="00896243">
        <w:rPr>
          <w:rFonts w:asciiTheme="majorBidi" w:hAnsiTheme="majorBidi" w:cstheme="majorBidi"/>
          <w:b/>
          <w:bCs/>
          <w:color w:val="000000" w:themeColor="text1"/>
        </w:rPr>
        <w:t>Patient and methods</w:t>
      </w:r>
    </w:p>
    <w:p w14:paraId="75D76C59" w14:textId="77777777" w:rsidR="00B0733B" w:rsidRPr="00896243" w:rsidRDefault="00B0733B" w:rsidP="00B0733B">
      <w:pPr>
        <w:autoSpaceDE w:val="0"/>
        <w:autoSpaceDN w:val="0"/>
        <w:adjustRightInd w:val="0"/>
        <w:spacing w:after="100" w:line="360" w:lineRule="auto"/>
        <w:rPr>
          <w:rFonts w:asciiTheme="majorBidi" w:hAnsiTheme="majorBidi" w:cstheme="majorBidi"/>
          <w:color w:val="000000" w:themeColor="text1"/>
        </w:rPr>
      </w:pPr>
      <w:r w:rsidRPr="00896243">
        <w:rPr>
          <w:rFonts w:asciiTheme="majorBidi" w:hAnsiTheme="majorBidi" w:cstheme="majorBidi"/>
          <w:color w:val="000000" w:themeColor="text1"/>
        </w:rPr>
        <w:t xml:space="preserve">A prospective randomized control study included 20 children with developmental </w:t>
      </w:r>
      <w:proofErr w:type="spellStart"/>
      <w:r w:rsidRPr="00896243">
        <w:rPr>
          <w:rFonts w:asciiTheme="majorBidi" w:hAnsiTheme="majorBidi" w:cstheme="majorBidi"/>
          <w:color w:val="000000" w:themeColor="text1"/>
        </w:rPr>
        <w:t>coxa</w:t>
      </w:r>
      <w:proofErr w:type="spellEnd"/>
      <w:r w:rsidRPr="00896243">
        <w:rPr>
          <w:rFonts w:asciiTheme="majorBidi" w:hAnsiTheme="majorBidi" w:cstheme="majorBidi"/>
          <w:color w:val="000000" w:themeColor="text1"/>
        </w:rPr>
        <w:t xml:space="preserve"> </w:t>
      </w:r>
      <w:proofErr w:type="spellStart"/>
      <w:r w:rsidRPr="00896243">
        <w:rPr>
          <w:rFonts w:asciiTheme="majorBidi" w:hAnsiTheme="majorBidi" w:cstheme="majorBidi"/>
          <w:color w:val="000000" w:themeColor="text1"/>
        </w:rPr>
        <w:t>vara</w:t>
      </w:r>
      <w:proofErr w:type="spellEnd"/>
      <w:r w:rsidRPr="00896243">
        <w:rPr>
          <w:rFonts w:asciiTheme="majorBidi" w:hAnsiTheme="majorBidi" w:cstheme="majorBidi"/>
          <w:color w:val="000000" w:themeColor="text1"/>
        </w:rPr>
        <w:t xml:space="preserve"> , </w:t>
      </w:r>
      <w:r w:rsidRPr="00896243">
        <w:rPr>
          <w:rFonts w:ascii="Georgia" w:hAnsi="Georgia"/>
          <w:color w:val="000000" w:themeColor="text1"/>
          <w:sz w:val="27"/>
          <w:szCs w:val="27"/>
          <w:shd w:val="clear" w:color="auto" w:fill="FCFCFC"/>
        </w:rPr>
        <w:t xml:space="preserve">the  mean age at initial surgery was  10.1 years (range </w:t>
      </w:r>
      <w:r w:rsidRPr="00896243">
        <w:rPr>
          <w:rFonts w:asciiTheme="majorBidi" w:hAnsiTheme="majorBidi" w:cstheme="majorBidi"/>
          <w:color w:val="000000" w:themeColor="text1"/>
        </w:rPr>
        <w:t>7 to 11 years</w:t>
      </w:r>
      <w:r w:rsidRPr="00896243">
        <w:rPr>
          <w:rFonts w:ascii="Georgia" w:hAnsi="Georgia"/>
          <w:color w:val="000000" w:themeColor="text1"/>
          <w:sz w:val="27"/>
          <w:szCs w:val="27"/>
          <w:shd w:val="clear" w:color="auto" w:fill="FCFCFC"/>
        </w:rPr>
        <w:t>).</w:t>
      </w:r>
      <w:r w:rsidRPr="00896243">
        <w:rPr>
          <w:rFonts w:asciiTheme="majorBidi" w:hAnsiTheme="majorBidi" w:cstheme="majorBidi"/>
          <w:color w:val="000000" w:themeColor="text1"/>
        </w:rPr>
        <w:t xml:space="preserve">  The study period from February 2019 to January 2021   ,all cases operated upon in    Helwan  University and 6 October health insurance Hospitals . Informed consent was obtained from all participants prior to enrollment in the study. The studied population was randomly selected by simple randomization and divided according to surgical management into; group (A) with </w:t>
      </w:r>
      <w:proofErr w:type="spellStart"/>
      <w:r w:rsidRPr="00896243">
        <w:rPr>
          <w:rFonts w:asciiTheme="majorBidi" w:hAnsiTheme="majorBidi" w:cstheme="majorBidi"/>
          <w:color w:val="000000" w:themeColor="text1"/>
        </w:rPr>
        <w:t>monolateral</w:t>
      </w:r>
      <w:proofErr w:type="spellEnd"/>
      <w:r w:rsidRPr="00896243">
        <w:rPr>
          <w:rFonts w:asciiTheme="majorBidi" w:hAnsiTheme="majorBidi" w:cstheme="majorBidi"/>
          <w:color w:val="000000" w:themeColor="text1"/>
        </w:rPr>
        <w:t xml:space="preserve"> external fixation and group (B) with traditional plate. </w:t>
      </w:r>
    </w:p>
    <w:p w14:paraId="64649275"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color w:val="000000" w:themeColor="text1"/>
        </w:rPr>
      </w:pPr>
      <w:r w:rsidRPr="00896243">
        <w:rPr>
          <w:rFonts w:asciiTheme="majorBidi" w:hAnsiTheme="majorBidi" w:cstheme="majorBidi"/>
          <w:color w:val="000000" w:themeColor="text1"/>
        </w:rPr>
        <w:t xml:space="preserve">patients having </w:t>
      </w:r>
      <w:proofErr w:type="spellStart"/>
      <w:r w:rsidRPr="00896243">
        <w:rPr>
          <w:rFonts w:asciiTheme="majorBidi" w:hAnsiTheme="majorBidi" w:cstheme="majorBidi"/>
          <w:color w:val="000000" w:themeColor="text1"/>
        </w:rPr>
        <w:t>coxa</w:t>
      </w:r>
      <w:proofErr w:type="spellEnd"/>
      <w:r w:rsidRPr="00896243">
        <w:rPr>
          <w:rFonts w:asciiTheme="majorBidi" w:hAnsiTheme="majorBidi" w:cstheme="majorBidi"/>
          <w:color w:val="000000" w:themeColor="text1"/>
        </w:rPr>
        <w:t xml:space="preserve"> </w:t>
      </w:r>
      <w:proofErr w:type="spellStart"/>
      <w:r w:rsidRPr="00896243">
        <w:rPr>
          <w:rFonts w:asciiTheme="majorBidi" w:hAnsiTheme="majorBidi" w:cstheme="majorBidi"/>
          <w:color w:val="000000" w:themeColor="text1"/>
        </w:rPr>
        <w:t>vara</w:t>
      </w:r>
      <w:proofErr w:type="spellEnd"/>
      <w:r w:rsidRPr="00896243">
        <w:rPr>
          <w:rFonts w:asciiTheme="majorBidi" w:hAnsiTheme="majorBidi" w:cstheme="majorBidi"/>
          <w:color w:val="000000" w:themeColor="text1"/>
        </w:rPr>
        <w:t xml:space="preserve"> due to another cause, such as acquired, dysplastic, or congenital (e.g., fracture neck femur, fibrous dysplasia, or proximal femoral focal deficit), was excluded. The primary complaint of the patients in this research was a limp, with little or no pain. All patients had a short leg gait with an abductor lurch, a positive Trendelenb</w:t>
      </w:r>
      <w:bookmarkStart w:id="7" w:name="_GoBack"/>
      <w:bookmarkEnd w:id="7"/>
      <w:r w:rsidRPr="00896243">
        <w:rPr>
          <w:rFonts w:asciiTheme="majorBidi" w:hAnsiTheme="majorBidi" w:cstheme="majorBidi"/>
          <w:color w:val="000000" w:themeColor="text1"/>
        </w:rPr>
        <w:t xml:space="preserve">urg test, restriction of abduction and internal rotation of the affected hip, and a positive Trendelenburg test. Before and one, three, six, and twelve months postsurgical, routine x - rays were taken, including an anteroposterior (AP) view of the pelvis and a frog lateral view of the afflicted hip.  limb </w:t>
      </w:r>
      <w:proofErr w:type="spellStart"/>
      <w:r w:rsidRPr="00896243">
        <w:rPr>
          <w:rFonts w:asciiTheme="majorBidi" w:hAnsiTheme="majorBidi" w:cstheme="majorBidi"/>
          <w:color w:val="000000" w:themeColor="text1"/>
        </w:rPr>
        <w:t>scanograms</w:t>
      </w:r>
      <w:proofErr w:type="spellEnd"/>
      <w:r w:rsidRPr="00896243">
        <w:rPr>
          <w:rFonts w:asciiTheme="majorBidi" w:hAnsiTheme="majorBidi" w:cstheme="majorBidi"/>
          <w:color w:val="000000" w:themeColor="text1"/>
        </w:rPr>
        <w:t xml:space="preserve"> before surgery were obtained in all patients. HEA and NSA were measured preoperative and at last follow-up on the AP pelvis radiograph. All patients had a HEA &gt; 60 and FNSA&lt; 95. </w:t>
      </w:r>
    </w:p>
    <w:p w14:paraId="015383BA"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color w:val="000000" w:themeColor="text1"/>
        </w:rPr>
      </w:pPr>
      <w:r w:rsidRPr="00896243">
        <w:rPr>
          <w:rFonts w:asciiTheme="majorBidi" w:hAnsiTheme="majorBidi" w:cstheme="majorBidi"/>
          <w:color w:val="000000" w:themeColor="text1"/>
        </w:rPr>
        <w:t>Surgical technique:</w:t>
      </w:r>
    </w:p>
    <w:p w14:paraId="7BF1154A"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color w:val="000000" w:themeColor="text1"/>
        </w:rPr>
      </w:pPr>
      <w:r w:rsidRPr="00896243">
        <w:rPr>
          <w:rFonts w:asciiTheme="majorBidi" w:hAnsiTheme="majorBidi" w:cstheme="majorBidi"/>
          <w:color w:val="000000" w:themeColor="text1"/>
        </w:rPr>
        <w:t xml:space="preserve">    All procedures were done under general </w:t>
      </w:r>
      <w:proofErr w:type="spellStart"/>
      <w:r w:rsidRPr="00896243">
        <w:rPr>
          <w:rFonts w:asciiTheme="majorBidi" w:hAnsiTheme="majorBidi" w:cstheme="majorBidi"/>
          <w:color w:val="000000" w:themeColor="text1"/>
        </w:rPr>
        <w:t>anaesthesia</w:t>
      </w:r>
      <w:proofErr w:type="spellEnd"/>
      <w:r w:rsidRPr="00896243">
        <w:rPr>
          <w:rFonts w:asciiTheme="majorBidi" w:hAnsiTheme="majorBidi" w:cstheme="majorBidi"/>
          <w:color w:val="000000" w:themeColor="text1"/>
        </w:rPr>
        <w:t>.  X ray both hip prior to the surgery is done  in a supine position (Figure 1</w:t>
      </w:r>
      <w:r>
        <w:rPr>
          <w:rFonts w:asciiTheme="majorBidi" w:hAnsiTheme="majorBidi" w:cstheme="majorBidi" w:hint="cs"/>
          <w:color w:val="000000" w:themeColor="text1"/>
        </w:rPr>
        <w:t>,4 )</w:t>
      </w:r>
      <w:r w:rsidRPr="00896243">
        <w:rPr>
          <w:rFonts w:asciiTheme="majorBidi" w:hAnsiTheme="majorBidi" w:cstheme="majorBidi"/>
          <w:color w:val="000000" w:themeColor="text1"/>
        </w:rPr>
        <w:t xml:space="preserve">. </w:t>
      </w:r>
    </w:p>
    <w:p w14:paraId="6ACAA3DA"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color w:val="000000" w:themeColor="text1"/>
        </w:rPr>
      </w:pPr>
      <w:r w:rsidRPr="00896243">
        <w:rPr>
          <w:rFonts w:asciiTheme="majorBidi" w:hAnsiTheme="majorBidi" w:cstheme="majorBidi"/>
          <w:color w:val="000000" w:themeColor="text1"/>
        </w:rPr>
        <w:t xml:space="preserve">     The affected lower extremity was draped. A real AP view of the affected hip was replicated on the C-arm monitor while the involved limb was kept in hip neutral posture. We used 2 proximal </w:t>
      </w:r>
      <w:proofErr w:type="spellStart"/>
      <w:r w:rsidRPr="00896243">
        <w:rPr>
          <w:rFonts w:asciiTheme="majorBidi" w:hAnsiTheme="majorBidi" w:cstheme="majorBidi"/>
          <w:color w:val="000000" w:themeColor="text1"/>
        </w:rPr>
        <w:t>scahanz</w:t>
      </w:r>
      <w:proofErr w:type="spellEnd"/>
      <w:r w:rsidRPr="00896243">
        <w:rPr>
          <w:rFonts w:asciiTheme="majorBidi" w:hAnsiTheme="majorBidi" w:cstheme="majorBidi"/>
          <w:color w:val="000000" w:themeColor="text1"/>
        </w:rPr>
        <w:t xml:space="preserve">, putting the initial </w:t>
      </w:r>
      <w:proofErr w:type="spellStart"/>
      <w:r w:rsidRPr="00896243">
        <w:rPr>
          <w:rFonts w:asciiTheme="majorBidi" w:hAnsiTheme="majorBidi" w:cstheme="majorBidi"/>
          <w:color w:val="000000" w:themeColor="text1"/>
        </w:rPr>
        <w:t>scahanz</w:t>
      </w:r>
      <w:proofErr w:type="spellEnd"/>
      <w:r w:rsidRPr="00896243">
        <w:rPr>
          <w:rFonts w:asciiTheme="majorBidi" w:hAnsiTheme="majorBidi" w:cstheme="majorBidi"/>
          <w:color w:val="000000" w:themeColor="text1"/>
        </w:rPr>
        <w:t xml:space="preserve"> in the proximal segment when the leg is in the hip neutral position, excessive skin release around the half-pins is avoided following the corrective osteotomy. With direction from superolateral to inferomedial.  Followed by second </w:t>
      </w:r>
      <w:proofErr w:type="spellStart"/>
      <w:r w:rsidRPr="00896243">
        <w:rPr>
          <w:rFonts w:asciiTheme="majorBidi" w:hAnsiTheme="majorBidi" w:cstheme="majorBidi"/>
          <w:color w:val="000000" w:themeColor="text1"/>
        </w:rPr>
        <w:t>scahanz</w:t>
      </w:r>
      <w:proofErr w:type="spellEnd"/>
      <w:r w:rsidRPr="00896243">
        <w:rPr>
          <w:rFonts w:asciiTheme="majorBidi" w:hAnsiTheme="majorBidi" w:cstheme="majorBidi"/>
          <w:color w:val="000000" w:themeColor="text1"/>
        </w:rPr>
        <w:t xml:space="preserve"> using the clamp to maintain proper direction of the second </w:t>
      </w:r>
      <w:proofErr w:type="spellStart"/>
      <w:r w:rsidRPr="00896243">
        <w:rPr>
          <w:rFonts w:asciiTheme="majorBidi" w:hAnsiTheme="majorBidi" w:cstheme="majorBidi"/>
          <w:color w:val="000000" w:themeColor="text1"/>
        </w:rPr>
        <w:t>scahanz</w:t>
      </w:r>
      <w:proofErr w:type="spellEnd"/>
      <w:r w:rsidRPr="00896243">
        <w:rPr>
          <w:rFonts w:asciiTheme="majorBidi" w:hAnsiTheme="majorBidi" w:cstheme="majorBidi"/>
          <w:color w:val="000000" w:themeColor="text1"/>
        </w:rPr>
        <w:t xml:space="preserve">. Then placing distal two </w:t>
      </w:r>
      <w:proofErr w:type="spellStart"/>
      <w:r w:rsidRPr="00896243">
        <w:rPr>
          <w:rFonts w:asciiTheme="majorBidi" w:hAnsiTheme="majorBidi" w:cstheme="majorBidi"/>
          <w:color w:val="000000" w:themeColor="text1"/>
        </w:rPr>
        <w:t>scahanz</w:t>
      </w:r>
      <w:proofErr w:type="spellEnd"/>
      <w:r w:rsidRPr="00896243">
        <w:rPr>
          <w:rFonts w:asciiTheme="majorBidi" w:hAnsiTheme="majorBidi" w:cstheme="majorBidi"/>
          <w:color w:val="000000" w:themeColor="text1"/>
        </w:rPr>
        <w:t xml:space="preserve"> in the shaft leave the subtrochanteric area ready for osteotomy. A 2-cm transverse incision was created in the subtrochanteric region at the level of the intended osteotomy location. Multiple drill holes were created, which were subsequently joined together with an osteotome. Once the osteotomy was completed, the correction was accomplished by bringing the two clamps together connected with the rod to reach the corrected neck shaft angle needed under C arm control.( figure 2,3 ).</w:t>
      </w:r>
    </w:p>
    <w:p w14:paraId="7AFCE431" w14:textId="77777777" w:rsidR="00B0733B" w:rsidRPr="00896243" w:rsidRDefault="00B0733B" w:rsidP="00B0733B">
      <w:pPr>
        <w:autoSpaceDE w:val="0"/>
        <w:autoSpaceDN w:val="0"/>
        <w:adjustRightInd w:val="0"/>
        <w:spacing w:after="100" w:line="360" w:lineRule="auto"/>
        <w:jc w:val="center"/>
        <w:rPr>
          <w:rFonts w:asciiTheme="majorBidi" w:hAnsiTheme="majorBidi" w:cstheme="majorBidi"/>
          <w:color w:val="000000" w:themeColor="text1"/>
        </w:rPr>
      </w:pPr>
      <w:r w:rsidRPr="00896243">
        <w:rPr>
          <w:rFonts w:asciiTheme="majorBidi" w:hAnsiTheme="majorBidi" w:cstheme="majorBidi"/>
          <w:noProof/>
          <w:color w:val="000000" w:themeColor="text1"/>
        </w:rPr>
        <w:drawing>
          <wp:anchor distT="0" distB="0" distL="114300" distR="114300" simplePos="0" relativeHeight="251659264" behindDoc="0" locked="0" layoutInCell="1" allowOverlap="1" wp14:anchorId="69C4DAA4" wp14:editId="4004A436">
            <wp:simplePos x="0" y="0"/>
            <wp:positionH relativeFrom="column">
              <wp:posOffset>1376045</wp:posOffset>
            </wp:positionH>
            <wp:positionV relativeFrom="paragraph">
              <wp:posOffset>0</wp:posOffset>
            </wp:positionV>
            <wp:extent cx="3004820" cy="294068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4820" cy="2940685"/>
                    </a:xfrm>
                    <a:prstGeom prst="rect">
                      <a:avLst/>
                    </a:prstGeom>
                  </pic:spPr>
                </pic:pic>
              </a:graphicData>
            </a:graphic>
            <wp14:sizeRelH relativeFrom="margin">
              <wp14:pctWidth>0</wp14:pctWidth>
            </wp14:sizeRelH>
            <wp14:sizeRelV relativeFrom="margin">
              <wp14:pctHeight>0</wp14:pctHeight>
            </wp14:sizeRelV>
          </wp:anchor>
        </w:drawing>
      </w:r>
      <w:r w:rsidRPr="00896243">
        <w:rPr>
          <w:rFonts w:asciiTheme="majorBidi" w:hAnsiTheme="majorBidi" w:cstheme="majorBidi"/>
          <w:color w:val="000000" w:themeColor="text1"/>
        </w:rPr>
        <w:t xml:space="preserve">Figure 1: </w:t>
      </w:r>
      <w:proofErr w:type="spellStart"/>
      <w:r w:rsidRPr="00896243">
        <w:rPr>
          <w:rFonts w:asciiTheme="majorBidi" w:hAnsiTheme="majorBidi" w:cstheme="majorBidi"/>
          <w:color w:val="000000" w:themeColor="text1"/>
        </w:rPr>
        <w:t>Coxa</w:t>
      </w:r>
      <w:proofErr w:type="spellEnd"/>
      <w:r w:rsidRPr="00896243">
        <w:rPr>
          <w:rFonts w:asciiTheme="majorBidi" w:hAnsiTheme="majorBidi" w:cstheme="majorBidi"/>
          <w:color w:val="000000" w:themeColor="text1"/>
        </w:rPr>
        <w:t xml:space="preserve"> </w:t>
      </w:r>
      <w:proofErr w:type="spellStart"/>
      <w:r w:rsidRPr="00896243">
        <w:rPr>
          <w:rFonts w:asciiTheme="majorBidi" w:hAnsiTheme="majorBidi" w:cstheme="majorBidi"/>
          <w:color w:val="000000" w:themeColor="text1"/>
        </w:rPr>
        <w:t>vara</w:t>
      </w:r>
      <w:proofErr w:type="spellEnd"/>
      <w:r w:rsidRPr="00896243">
        <w:rPr>
          <w:rFonts w:asciiTheme="majorBidi" w:hAnsiTheme="majorBidi" w:cstheme="majorBidi"/>
          <w:color w:val="000000" w:themeColor="text1"/>
        </w:rPr>
        <w:t xml:space="preserve"> of right hip</w:t>
      </w:r>
    </w:p>
    <w:p w14:paraId="52CB31B2" w14:textId="77777777" w:rsidR="00B0733B" w:rsidRPr="00896243" w:rsidRDefault="00B0733B" w:rsidP="00B0733B">
      <w:pPr>
        <w:autoSpaceDE w:val="0"/>
        <w:autoSpaceDN w:val="0"/>
        <w:adjustRightInd w:val="0"/>
        <w:spacing w:after="100" w:line="360" w:lineRule="auto"/>
        <w:jc w:val="center"/>
        <w:rPr>
          <w:rFonts w:asciiTheme="majorBidi" w:hAnsiTheme="majorBidi" w:cstheme="majorBidi"/>
          <w:color w:val="000000" w:themeColor="text1"/>
        </w:rPr>
      </w:pPr>
      <w:r w:rsidRPr="00896243">
        <w:rPr>
          <w:rFonts w:asciiTheme="majorBidi" w:hAnsiTheme="majorBidi" w:cstheme="majorBidi"/>
          <w:noProof/>
          <w:color w:val="000000" w:themeColor="text1"/>
        </w:rPr>
        <w:drawing>
          <wp:anchor distT="0" distB="0" distL="114300" distR="114300" simplePos="0" relativeHeight="251660288" behindDoc="0" locked="0" layoutInCell="1" allowOverlap="1" wp14:anchorId="0D1C9545" wp14:editId="1C972FE4">
            <wp:simplePos x="0" y="0"/>
            <wp:positionH relativeFrom="column">
              <wp:posOffset>1167765</wp:posOffset>
            </wp:positionH>
            <wp:positionV relativeFrom="paragraph">
              <wp:posOffset>21590</wp:posOffset>
            </wp:positionV>
            <wp:extent cx="3324860" cy="3148330"/>
            <wp:effectExtent l="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3324860" cy="3148330"/>
                    </a:xfrm>
                    <a:prstGeom prst="rect">
                      <a:avLst/>
                    </a:prstGeom>
                  </pic:spPr>
                </pic:pic>
              </a:graphicData>
            </a:graphic>
            <wp14:sizeRelH relativeFrom="margin">
              <wp14:pctWidth>0</wp14:pctWidth>
            </wp14:sizeRelH>
            <wp14:sizeRelV relativeFrom="margin">
              <wp14:pctHeight>0</wp14:pctHeight>
            </wp14:sizeRelV>
          </wp:anchor>
        </w:drawing>
      </w:r>
      <w:r w:rsidRPr="00896243">
        <w:rPr>
          <w:rFonts w:asciiTheme="majorBidi" w:hAnsiTheme="majorBidi" w:cstheme="majorBidi"/>
          <w:color w:val="000000" w:themeColor="text1"/>
        </w:rPr>
        <w:t>Figure 2: Fixation by external fixator</w:t>
      </w:r>
    </w:p>
    <w:p w14:paraId="583E6A48"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color w:val="000000" w:themeColor="text1"/>
        </w:rPr>
      </w:pPr>
    </w:p>
    <w:p w14:paraId="6D802638"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color w:val="000000" w:themeColor="text1"/>
        </w:rPr>
      </w:pPr>
    </w:p>
    <w:p w14:paraId="684718EB" w14:textId="77777777" w:rsidR="00B0733B" w:rsidRPr="00896243" w:rsidRDefault="00B0733B" w:rsidP="00B0733B">
      <w:pPr>
        <w:autoSpaceDE w:val="0"/>
        <w:autoSpaceDN w:val="0"/>
        <w:adjustRightInd w:val="0"/>
        <w:spacing w:after="100" w:line="360" w:lineRule="auto"/>
        <w:jc w:val="center"/>
        <w:rPr>
          <w:rFonts w:asciiTheme="majorBidi" w:hAnsiTheme="majorBidi" w:cstheme="majorBidi"/>
          <w:color w:val="000000" w:themeColor="text1"/>
        </w:rPr>
      </w:pPr>
      <w:r w:rsidRPr="00896243">
        <w:rPr>
          <w:rFonts w:asciiTheme="majorBidi" w:hAnsiTheme="majorBidi" w:cstheme="majorBidi"/>
          <w:noProof/>
          <w:color w:val="000000" w:themeColor="text1"/>
        </w:rPr>
        <w:drawing>
          <wp:anchor distT="0" distB="0" distL="114300" distR="114300" simplePos="0" relativeHeight="251661312" behindDoc="0" locked="0" layoutInCell="1" allowOverlap="1" wp14:anchorId="6F14FDAA" wp14:editId="135459AC">
            <wp:simplePos x="0" y="0"/>
            <wp:positionH relativeFrom="column">
              <wp:posOffset>932815</wp:posOffset>
            </wp:positionH>
            <wp:positionV relativeFrom="paragraph">
              <wp:posOffset>0</wp:posOffset>
            </wp:positionV>
            <wp:extent cx="3706495" cy="3817620"/>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3706495" cy="3817620"/>
                    </a:xfrm>
                    <a:prstGeom prst="rect">
                      <a:avLst/>
                    </a:prstGeom>
                  </pic:spPr>
                </pic:pic>
              </a:graphicData>
            </a:graphic>
            <wp14:sizeRelH relativeFrom="margin">
              <wp14:pctWidth>0</wp14:pctWidth>
            </wp14:sizeRelH>
            <wp14:sizeRelV relativeFrom="margin">
              <wp14:pctHeight>0</wp14:pctHeight>
            </wp14:sizeRelV>
          </wp:anchor>
        </w:drawing>
      </w:r>
      <w:r w:rsidRPr="00896243">
        <w:rPr>
          <w:rFonts w:asciiTheme="majorBidi" w:hAnsiTheme="majorBidi" w:cstheme="majorBidi"/>
          <w:color w:val="000000" w:themeColor="text1"/>
        </w:rPr>
        <w:t>Figure 3: After removal of external fixator</w:t>
      </w:r>
    </w:p>
    <w:p w14:paraId="0A93E2D7" w14:textId="77777777" w:rsidR="00B0733B" w:rsidRDefault="00B0733B" w:rsidP="00B0733B">
      <w:pPr>
        <w:autoSpaceDE w:val="0"/>
        <w:autoSpaceDN w:val="0"/>
        <w:adjustRightInd w:val="0"/>
        <w:spacing w:after="100" w:line="360" w:lineRule="auto"/>
        <w:jc w:val="both"/>
        <w:rPr>
          <w:rFonts w:asciiTheme="majorBidi" w:hAnsiTheme="majorBidi" w:cstheme="majorBidi"/>
          <w:color w:val="000000" w:themeColor="text1"/>
          <w:rtl/>
        </w:rPr>
      </w:pPr>
    </w:p>
    <w:p w14:paraId="6672020F" w14:textId="77777777" w:rsidR="00B0733B" w:rsidRDefault="00B0733B" w:rsidP="00B0733B">
      <w:pPr>
        <w:autoSpaceDE w:val="0"/>
        <w:autoSpaceDN w:val="0"/>
        <w:adjustRightInd w:val="0"/>
        <w:spacing w:after="100" w:line="360" w:lineRule="auto"/>
        <w:jc w:val="both"/>
        <w:rPr>
          <w:rFonts w:asciiTheme="majorBidi" w:hAnsiTheme="majorBidi" w:cstheme="majorBidi"/>
          <w:color w:val="000000" w:themeColor="text1"/>
          <w:rtl/>
        </w:rPr>
      </w:pPr>
    </w:p>
    <w:p w14:paraId="3EC5DCE1" w14:textId="77777777" w:rsidR="00B0733B" w:rsidRDefault="00B0733B" w:rsidP="00B0733B">
      <w:pPr>
        <w:autoSpaceDE w:val="0"/>
        <w:autoSpaceDN w:val="0"/>
        <w:adjustRightInd w:val="0"/>
        <w:spacing w:after="100" w:line="360" w:lineRule="auto"/>
        <w:jc w:val="both"/>
        <w:rPr>
          <w:rFonts w:asciiTheme="majorBidi" w:hAnsiTheme="majorBidi" w:cstheme="majorBidi"/>
          <w:color w:val="000000" w:themeColor="text1"/>
          <w:rtl/>
        </w:rPr>
      </w:pPr>
    </w:p>
    <w:p w14:paraId="47B77F00" w14:textId="77777777" w:rsidR="00B0733B" w:rsidRDefault="00B0733B" w:rsidP="00B0733B">
      <w:pPr>
        <w:autoSpaceDE w:val="0"/>
        <w:autoSpaceDN w:val="0"/>
        <w:adjustRightInd w:val="0"/>
        <w:spacing w:after="100" w:line="360" w:lineRule="auto"/>
        <w:jc w:val="both"/>
        <w:rPr>
          <w:rFonts w:asciiTheme="majorBidi" w:hAnsiTheme="majorBidi" w:cstheme="majorBidi"/>
          <w:color w:val="000000" w:themeColor="text1"/>
          <w:rtl/>
        </w:rPr>
      </w:pPr>
    </w:p>
    <w:p w14:paraId="659005FA" w14:textId="77777777" w:rsidR="00B0733B" w:rsidRDefault="00B0733B" w:rsidP="00B0733B">
      <w:pPr>
        <w:autoSpaceDE w:val="0"/>
        <w:autoSpaceDN w:val="0"/>
        <w:adjustRightInd w:val="0"/>
        <w:spacing w:after="100" w:line="360" w:lineRule="auto"/>
        <w:jc w:val="both"/>
        <w:rPr>
          <w:rFonts w:asciiTheme="majorBidi" w:hAnsiTheme="majorBidi" w:cstheme="majorBidi"/>
          <w:color w:val="000000" w:themeColor="text1"/>
          <w:rtl/>
        </w:rPr>
      </w:pPr>
    </w:p>
    <w:p w14:paraId="614245FF" w14:textId="77777777" w:rsidR="00B0733B" w:rsidRDefault="00B0733B" w:rsidP="00B0733B">
      <w:pPr>
        <w:autoSpaceDE w:val="0"/>
        <w:autoSpaceDN w:val="0"/>
        <w:adjustRightInd w:val="0"/>
        <w:spacing w:after="100" w:line="360" w:lineRule="auto"/>
        <w:jc w:val="both"/>
        <w:rPr>
          <w:rFonts w:asciiTheme="majorBidi" w:hAnsiTheme="majorBidi" w:cstheme="majorBidi"/>
          <w:color w:val="000000" w:themeColor="text1"/>
          <w:rtl/>
        </w:rPr>
      </w:pPr>
    </w:p>
    <w:p w14:paraId="46844358" w14:textId="77777777" w:rsidR="00B0733B" w:rsidRDefault="00B0733B" w:rsidP="00B0733B">
      <w:pPr>
        <w:autoSpaceDE w:val="0"/>
        <w:autoSpaceDN w:val="0"/>
        <w:adjustRightInd w:val="0"/>
        <w:spacing w:after="100" w:line="360" w:lineRule="auto"/>
        <w:jc w:val="both"/>
        <w:rPr>
          <w:rFonts w:asciiTheme="majorBidi" w:hAnsiTheme="majorBidi" w:cstheme="majorBidi"/>
          <w:color w:val="000000" w:themeColor="text1"/>
          <w:rtl/>
        </w:rPr>
      </w:pPr>
    </w:p>
    <w:p w14:paraId="5B185C89" w14:textId="77777777" w:rsidR="00B0733B" w:rsidRDefault="00B0733B" w:rsidP="00B0733B">
      <w:pPr>
        <w:autoSpaceDE w:val="0"/>
        <w:autoSpaceDN w:val="0"/>
        <w:adjustRightInd w:val="0"/>
        <w:spacing w:after="100" w:line="360" w:lineRule="auto"/>
        <w:jc w:val="both"/>
        <w:rPr>
          <w:rFonts w:asciiTheme="majorBidi" w:hAnsiTheme="majorBidi" w:cstheme="majorBidi"/>
          <w:color w:val="000000" w:themeColor="text1"/>
          <w:rtl/>
        </w:rPr>
      </w:pPr>
    </w:p>
    <w:p w14:paraId="50A2DE3E" w14:textId="77777777" w:rsidR="00B0733B" w:rsidRDefault="00B0733B" w:rsidP="00B0733B">
      <w:pPr>
        <w:autoSpaceDE w:val="0"/>
        <w:autoSpaceDN w:val="0"/>
        <w:adjustRightInd w:val="0"/>
        <w:spacing w:after="100" w:line="360" w:lineRule="auto"/>
        <w:jc w:val="both"/>
        <w:rPr>
          <w:rFonts w:asciiTheme="majorBidi" w:hAnsiTheme="majorBidi" w:cstheme="majorBidi"/>
          <w:color w:val="000000" w:themeColor="text1"/>
          <w:rtl/>
        </w:rPr>
      </w:pPr>
    </w:p>
    <w:p w14:paraId="1334CEA3" w14:textId="77777777" w:rsidR="00B0733B" w:rsidRDefault="00B0733B" w:rsidP="00B0733B">
      <w:pPr>
        <w:autoSpaceDE w:val="0"/>
        <w:autoSpaceDN w:val="0"/>
        <w:adjustRightInd w:val="0"/>
        <w:spacing w:after="100" w:line="360" w:lineRule="auto"/>
        <w:jc w:val="center"/>
        <w:rPr>
          <w:rFonts w:asciiTheme="majorBidi" w:hAnsiTheme="majorBidi" w:cstheme="majorBidi"/>
          <w:color w:val="000000" w:themeColor="text1"/>
          <w:rtl/>
        </w:rPr>
      </w:pPr>
      <w:r>
        <w:rPr>
          <w:rFonts w:asciiTheme="majorBidi" w:hAnsiTheme="majorBidi" w:cstheme="majorBidi"/>
          <w:noProof/>
          <w:color w:val="000000"/>
        </w:rPr>
        <w:drawing>
          <wp:anchor distT="0" distB="0" distL="114300" distR="114300" simplePos="0" relativeHeight="251663360" behindDoc="0" locked="0" layoutInCell="1" allowOverlap="1" wp14:anchorId="2600D927" wp14:editId="09977374">
            <wp:simplePos x="0" y="0"/>
            <wp:positionH relativeFrom="column">
              <wp:posOffset>1111885</wp:posOffset>
            </wp:positionH>
            <wp:positionV relativeFrom="paragraph">
              <wp:posOffset>109855</wp:posOffset>
            </wp:positionV>
            <wp:extent cx="3501390" cy="4189095"/>
            <wp:effectExtent l="0" t="0" r="381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501390" cy="4189095"/>
                    </a:xfrm>
                    <a:prstGeom prst="rect">
                      <a:avLst/>
                    </a:prstGeom>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hint="cs"/>
          <w:color w:val="000000" w:themeColor="text1"/>
        </w:rPr>
        <w:t xml:space="preserve">Figure 4: </w:t>
      </w:r>
      <w:proofErr w:type="spellStart"/>
      <w:r>
        <w:rPr>
          <w:rFonts w:asciiTheme="majorBidi" w:hAnsiTheme="majorBidi" w:cstheme="majorBidi" w:hint="cs"/>
          <w:color w:val="000000" w:themeColor="text1"/>
        </w:rPr>
        <w:t>Coxa</w:t>
      </w:r>
      <w:proofErr w:type="spellEnd"/>
      <w:r>
        <w:rPr>
          <w:rFonts w:asciiTheme="majorBidi" w:hAnsiTheme="majorBidi" w:cstheme="majorBidi" w:hint="cs"/>
          <w:color w:val="000000" w:themeColor="text1"/>
        </w:rPr>
        <w:t xml:space="preserve"> </w:t>
      </w:r>
      <w:proofErr w:type="spellStart"/>
      <w:r>
        <w:rPr>
          <w:rFonts w:asciiTheme="majorBidi" w:hAnsiTheme="majorBidi" w:cstheme="majorBidi" w:hint="cs"/>
          <w:color w:val="000000" w:themeColor="text1"/>
        </w:rPr>
        <w:t>vara</w:t>
      </w:r>
      <w:proofErr w:type="spellEnd"/>
      <w:r>
        <w:rPr>
          <w:rFonts w:asciiTheme="majorBidi" w:hAnsiTheme="majorBidi" w:cstheme="majorBidi" w:hint="cs"/>
          <w:color w:val="000000" w:themeColor="text1"/>
        </w:rPr>
        <w:t xml:space="preserve"> of the left hip</w:t>
      </w:r>
    </w:p>
    <w:p w14:paraId="6BE7FC15" w14:textId="77777777" w:rsidR="00B0733B" w:rsidRDefault="00B0733B" w:rsidP="00B0733B">
      <w:pPr>
        <w:autoSpaceDE w:val="0"/>
        <w:autoSpaceDN w:val="0"/>
        <w:adjustRightInd w:val="0"/>
        <w:spacing w:after="100" w:line="360" w:lineRule="auto"/>
        <w:jc w:val="both"/>
        <w:rPr>
          <w:rFonts w:asciiTheme="majorBidi" w:hAnsiTheme="majorBidi" w:cstheme="majorBidi"/>
          <w:color w:val="000000" w:themeColor="text1"/>
          <w:rtl/>
        </w:rPr>
      </w:pPr>
    </w:p>
    <w:p w14:paraId="3DBEACA9" w14:textId="77777777" w:rsidR="00B0733B" w:rsidRDefault="00B0733B" w:rsidP="00B0733B">
      <w:pPr>
        <w:autoSpaceDE w:val="0"/>
        <w:autoSpaceDN w:val="0"/>
        <w:adjustRightInd w:val="0"/>
        <w:spacing w:after="100" w:line="360" w:lineRule="auto"/>
        <w:jc w:val="both"/>
        <w:rPr>
          <w:rFonts w:asciiTheme="majorBidi" w:hAnsiTheme="majorBidi" w:cstheme="majorBidi"/>
          <w:color w:val="000000" w:themeColor="text1"/>
          <w:rtl/>
        </w:rPr>
      </w:pPr>
    </w:p>
    <w:p w14:paraId="56F2B31F" w14:textId="77777777" w:rsidR="00B0733B" w:rsidRDefault="00B0733B" w:rsidP="00B0733B">
      <w:pPr>
        <w:autoSpaceDE w:val="0"/>
        <w:autoSpaceDN w:val="0"/>
        <w:adjustRightInd w:val="0"/>
        <w:spacing w:after="100" w:line="360" w:lineRule="auto"/>
        <w:jc w:val="both"/>
        <w:rPr>
          <w:rFonts w:asciiTheme="majorBidi" w:hAnsiTheme="majorBidi" w:cstheme="majorBidi"/>
          <w:color w:val="000000" w:themeColor="text1"/>
          <w:rtl/>
        </w:rPr>
      </w:pPr>
    </w:p>
    <w:p w14:paraId="37CEA366" w14:textId="77777777" w:rsidR="00B0733B" w:rsidRDefault="00B0733B" w:rsidP="00B0733B">
      <w:pPr>
        <w:autoSpaceDE w:val="0"/>
        <w:autoSpaceDN w:val="0"/>
        <w:adjustRightInd w:val="0"/>
        <w:spacing w:after="100" w:line="360" w:lineRule="auto"/>
        <w:jc w:val="both"/>
        <w:rPr>
          <w:rFonts w:asciiTheme="majorBidi" w:hAnsiTheme="majorBidi" w:cstheme="majorBidi"/>
          <w:color w:val="000000" w:themeColor="text1"/>
          <w:rtl/>
        </w:rPr>
      </w:pPr>
      <w:r>
        <w:rPr>
          <w:rFonts w:asciiTheme="majorBidi" w:hAnsiTheme="majorBidi" w:cstheme="majorBidi"/>
          <w:noProof/>
          <w:color w:val="000000"/>
        </w:rPr>
        <w:drawing>
          <wp:anchor distT="0" distB="0" distL="114300" distR="114300" simplePos="0" relativeHeight="251662336" behindDoc="0" locked="0" layoutInCell="1" allowOverlap="1" wp14:anchorId="1234EB28" wp14:editId="132E11FC">
            <wp:simplePos x="0" y="0"/>
            <wp:positionH relativeFrom="column">
              <wp:posOffset>1130935</wp:posOffset>
            </wp:positionH>
            <wp:positionV relativeFrom="paragraph">
              <wp:posOffset>187960</wp:posOffset>
            </wp:positionV>
            <wp:extent cx="3430270" cy="3250565"/>
            <wp:effectExtent l="0" t="0" r="0" b="698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30270" cy="3250565"/>
                    </a:xfrm>
                    <a:prstGeom prst="rect">
                      <a:avLst/>
                    </a:prstGeom>
                  </pic:spPr>
                </pic:pic>
              </a:graphicData>
            </a:graphic>
            <wp14:sizeRelH relativeFrom="margin">
              <wp14:pctWidth>0</wp14:pctWidth>
            </wp14:sizeRelH>
            <wp14:sizeRelV relativeFrom="margin">
              <wp14:pctHeight>0</wp14:pctHeight>
            </wp14:sizeRelV>
          </wp:anchor>
        </w:drawing>
      </w:r>
    </w:p>
    <w:p w14:paraId="0D5F528E" w14:textId="77777777" w:rsidR="00B0733B" w:rsidRDefault="00B0733B" w:rsidP="00B0733B">
      <w:pPr>
        <w:autoSpaceDE w:val="0"/>
        <w:autoSpaceDN w:val="0"/>
        <w:adjustRightInd w:val="0"/>
        <w:spacing w:after="100"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Pr>
        <w:t xml:space="preserve">Figure 5: Fixation by </w:t>
      </w:r>
      <w:proofErr w:type="spellStart"/>
      <w:r>
        <w:rPr>
          <w:rFonts w:asciiTheme="majorBidi" w:hAnsiTheme="majorBidi" w:cstheme="majorBidi" w:hint="cs"/>
          <w:color w:val="000000" w:themeColor="text1"/>
        </w:rPr>
        <w:t>smal</w:t>
      </w:r>
      <w:proofErr w:type="spellEnd"/>
      <w:r>
        <w:rPr>
          <w:rFonts w:asciiTheme="majorBidi" w:hAnsiTheme="majorBidi" w:cstheme="majorBidi" w:hint="cs"/>
          <w:color w:val="000000" w:themeColor="text1"/>
        </w:rPr>
        <w:t xml:space="preserve"> DCP</w:t>
      </w:r>
    </w:p>
    <w:p w14:paraId="1CEEC48A"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color w:val="000000" w:themeColor="text1"/>
        </w:rPr>
      </w:pPr>
    </w:p>
    <w:p w14:paraId="0EF6A965"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color w:val="000000" w:themeColor="text1"/>
        </w:rPr>
      </w:pPr>
      <w:r w:rsidRPr="00896243">
        <w:rPr>
          <w:rFonts w:asciiTheme="majorBidi" w:hAnsiTheme="majorBidi" w:cstheme="majorBidi"/>
          <w:color w:val="000000" w:themeColor="text1"/>
        </w:rPr>
        <w:t>Statistical analysis:</w:t>
      </w:r>
    </w:p>
    <w:p w14:paraId="27CD3134"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color w:val="000000" w:themeColor="text1"/>
        </w:rPr>
      </w:pPr>
      <w:r w:rsidRPr="00896243">
        <w:rPr>
          <w:rFonts w:asciiTheme="majorBidi" w:hAnsiTheme="majorBidi" w:cstheme="majorBidi"/>
          <w:color w:val="000000" w:themeColor="text1"/>
        </w:rPr>
        <w:t>All data analyzed by SPSS (statistical package for social science) version 25 (IBM, Armonk, NY, USA) on IBM compatible computer.</w:t>
      </w:r>
      <w:r w:rsidRPr="00896243">
        <w:rPr>
          <w:rFonts w:asciiTheme="majorBidi" w:hAnsiTheme="majorBidi" w:cstheme="majorBidi"/>
          <w:b/>
          <w:bCs/>
          <w:color w:val="000000" w:themeColor="text1"/>
        </w:rPr>
        <w:t xml:space="preserve"> </w:t>
      </w:r>
      <w:r w:rsidRPr="00896243">
        <w:rPr>
          <w:rFonts w:asciiTheme="majorBidi" w:hAnsiTheme="majorBidi" w:cstheme="majorBidi"/>
          <w:color w:val="000000" w:themeColor="text1"/>
        </w:rPr>
        <w:t>According to the type of data qualitative represent as number and percentage, quantitative continues group represent by mean ± SD. The following tests were used Paired t-test</w:t>
      </w:r>
      <w:r w:rsidRPr="00896243">
        <w:rPr>
          <w:color w:val="000000" w:themeColor="text1"/>
        </w:rPr>
        <w:t xml:space="preserve">, </w:t>
      </w:r>
      <w:r w:rsidRPr="00896243">
        <w:rPr>
          <w:rFonts w:asciiTheme="majorBidi" w:hAnsiTheme="majorBidi" w:cstheme="majorBidi"/>
          <w:color w:val="000000" w:themeColor="text1"/>
        </w:rPr>
        <w:t>Mann-Whitney's Test and chi-square test. P-value was considered significant if &lt; 0.05.</w:t>
      </w:r>
    </w:p>
    <w:p w14:paraId="05E5637F"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color w:val="000000" w:themeColor="text1"/>
        </w:rPr>
      </w:pPr>
    </w:p>
    <w:p w14:paraId="4C26BD2D"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color w:val="000000" w:themeColor="text1"/>
        </w:rPr>
      </w:pPr>
      <w:r w:rsidRPr="00896243">
        <w:rPr>
          <w:rFonts w:ascii="Times New Roman" w:eastAsia="Calibri" w:hAnsi="Times New Roman" w:cs="Times New Roman"/>
          <w:b/>
          <w:bCs/>
          <w:color w:val="000000" w:themeColor="text1"/>
          <w:sz w:val="28"/>
          <w:szCs w:val="28"/>
        </w:rPr>
        <w:t>Results</w:t>
      </w:r>
    </w:p>
    <w:p w14:paraId="0534507A" w14:textId="77777777" w:rsidR="00B0733B" w:rsidRPr="00896243" w:rsidRDefault="00B0733B" w:rsidP="00B0733B">
      <w:pPr>
        <w:spacing w:after="160" w:line="360" w:lineRule="auto"/>
        <w:jc w:val="both"/>
        <w:rPr>
          <w:rFonts w:ascii="Times New Roman" w:eastAsia="Calibri" w:hAnsi="Times New Roman" w:cs="Times New Roman"/>
          <w:color w:val="000000" w:themeColor="text1"/>
          <w:lang w:bidi="ar-EG"/>
        </w:rPr>
      </w:pPr>
      <w:r w:rsidRPr="00896243">
        <w:rPr>
          <w:rFonts w:ascii="Times New Roman" w:eastAsia="Calibri" w:hAnsi="Times New Roman" w:cs="Times New Roman"/>
          <w:color w:val="000000" w:themeColor="text1"/>
        </w:rPr>
        <w:t xml:space="preserve">A total number of 20 children with pediatric </w:t>
      </w:r>
      <w:proofErr w:type="spellStart"/>
      <w:r w:rsidRPr="00896243">
        <w:rPr>
          <w:rFonts w:ascii="Times New Roman" w:eastAsia="Calibri" w:hAnsi="Times New Roman" w:cs="Times New Roman"/>
          <w:color w:val="000000" w:themeColor="text1"/>
        </w:rPr>
        <w:t>coxa</w:t>
      </w:r>
      <w:proofErr w:type="spellEnd"/>
      <w:r w:rsidRPr="00896243">
        <w:rPr>
          <w:rFonts w:ascii="Times New Roman" w:eastAsia="Calibri" w:hAnsi="Times New Roman" w:cs="Times New Roman"/>
          <w:color w:val="000000" w:themeColor="text1"/>
        </w:rPr>
        <w:t xml:space="preserve"> </w:t>
      </w:r>
      <w:proofErr w:type="spellStart"/>
      <w:r w:rsidRPr="00896243">
        <w:rPr>
          <w:rFonts w:ascii="Times New Roman" w:eastAsia="Calibri" w:hAnsi="Times New Roman" w:cs="Times New Roman"/>
          <w:color w:val="000000" w:themeColor="text1"/>
        </w:rPr>
        <w:t>vara</w:t>
      </w:r>
      <w:proofErr w:type="spellEnd"/>
      <w:r w:rsidRPr="00896243">
        <w:rPr>
          <w:rFonts w:ascii="Times New Roman" w:eastAsia="Calibri" w:hAnsi="Times New Roman" w:cs="Times New Roman"/>
          <w:color w:val="000000" w:themeColor="text1"/>
        </w:rPr>
        <w:t xml:space="preserve"> was enrolled. The age of studied cases ranged from 7 to 11 years with a mean was 8.40± 1.27 years. thirteen (65%) were males and seven (35%) were females. </w:t>
      </w:r>
      <w:r w:rsidRPr="00896243">
        <w:rPr>
          <w:rFonts w:ascii="Times New Roman" w:eastAsia="Calibri" w:hAnsi="Times New Roman" w:cs="Times New Roman"/>
          <w:color w:val="000000" w:themeColor="text1"/>
          <w:lang w:bidi="ar-EG"/>
        </w:rPr>
        <w:t xml:space="preserve">There was no significance among groups regarding age and gender. </w:t>
      </w:r>
      <w:r w:rsidRPr="00896243">
        <w:rPr>
          <w:rFonts w:ascii="Times New Roman" w:eastAsia="Calibri" w:hAnsi="Times New Roman" w:cs="Times New Roman"/>
          <w:color w:val="000000" w:themeColor="text1"/>
        </w:rPr>
        <w:t xml:space="preserve">Both the groups were comparable in terms of age and gender. The male to female ratio in group A was 1.5:1 and in group B it was 2.33:1 (p-value=1.00). The mean age in group A was 8.50± 1.08 years with range being 7 to 10 years and in group B, mean age was 8.30± 1.49 years with range being 7 to 11 years (Table 1). </w:t>
      </w:r>
    </w:p>
    <w:p w14:paraId="430005BA" w14:textId="77777777" w:rsidR="00B0733B" w:rsidRPr="00896243" w:rsidRDefault="00B0733B" w:rsidP="00B0733B">
      <w:pPr>
        <w:spacing w:after="160" w:line="360" w:lineRule="auto"/>
        <w:jc w:val="both"/>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 xml:space="preserve">Preoperatively, the mean femoral neck shaft angle in group A was 88.50± 6.69 degrees with range from 80.0 to 95.0 degrees was found. After treatment with fixator the mean value was significantly increased to 129.10± 3.35 degrees with range from 120.0 to 133.0 degree (p=0.005). In group B Preoperatively, the mean </w:t>
      </w:r>
      <w:r w:rsidRPr="00896243">
        <w:rPr>
          <w:rFonts w:asciiTheme="majorBidi" w:hAnsiTheme="majorBidi" w:cstheme="majorBidi"/>
          <w:color w:val="000000" w:themeColor="text1"/>
        </w:rPr>
        <w:t>FNSA</w:t>
      </w:r>
      <w:r w:rsidRPr="00896243">
        <w:rPr>
          <w:rFonts w:ascii="Times New Roman" w:eastAsia="Calibri" w:hAnsi="Times New Roman" w:cs="Times New Roman"/>
          <w:color w:val="000000" w:themeColor="text1"/>
        </w:rPr>
        <w:t xml:space="preserve"> was 88.0± 6.32degrees with range from 80.0 to 95.0 degrees was found. After treatment with plate the mean value was significantly increased to 125.40± 3.17degrees with range from 120.0 to 130.0 degree. Also, mean preoperative </w:t>
      </w:r>
      <w:proofErr w:type="spellStart"/>
      <w:r w:rsidRPr="00896243">
        <w:rPr>
          <w:rFonts w:ascii="Times New Roman" w:eastAsia="Calibri" w:hAnsi="Times New Roman" w:cs="Times New Roman"/>
          <w:color w:val="000000" w:themeColor="text1"/>
        </w:rPr>
        <w:t>articulo</w:t>
      </w:r>
      <w:proofErr w:type="spellEnd"/>
      <w:r w:rsidRPr="00896243">
        <w:rPr>
          <w:rFonts w:ascii="Times New Roman" w:eastAsia="Calibri" w:hAnsi="Times New Roman" w:cs="Times New Roman"/>
          <w:color w:val="000000" w:themeColor="text1"/>
        </w:rPr>
        <w:t>-trochanteric distance (ATD) in group A was</w:t>
      </w:r>
      <w:r w:rsidRPr="00896243">
        <w:rPr>
          <w:rFonts w:ascii="Calibri" w:eastAsia="Calibri" w:hAnsi="Calibri" w:cs="Arial"/>
          <w:color w:val="000000" w:themeColor="text1"/>
          <w:sz w:val="22"/>
          <w:szCs w:val="22"/>
        </w:rPr>
        <w:t xml:space="preserve"> </w:t>
      </w:r>
      <w:r w:rsidRPr="00896243">
        <w:rPr>
          <w:rFonts w:ascii="Times New Roman" w:eastAsia="Calibri" w:hAnsi="Times New Roman" w:cs="Times New Roman"/>
          <w:color w:val="000000" w:themeColor="text1"/>
        </w:rPr>
        <w:t>-7.40± 4.55 mm. Postoperatively, we recorded a mean ATD of 11.70± 3.20 mm, with significant changes (increase in distance postoperative (p=0.005). in group B, the mean Preoperative ATD was</w:t>
      </w:r>
      <w:r w:rsidRPr="00896243">
        <w:rPr>
          <w:rFonts w:ascii="Calibri" w:eastAsia="Calibri" w:hAnsi="Calibri" w:cs="Arial"/>
          <w:color w:val="000000" w:themeColor="text1"/>
          <w:sz w:val="22"/>
          <w:szCs w:val="22"/>
        </w:rPr>
        <w:t xml:space="preserve"> </w:t>
      </w:r>
      <w:r w:rsidRPr="00896243">
        <w:rPr>
          <w:rFonts w:ascii="Times New Roman" w:eastAsia="Calibri" w:hAnsi="Times New Roman" w:cs="Times New Roman"/>
          <w:color w:val="000000" w:themeColor="text1"/>
        </w:rPr>
        <w:t xml:space="preserve">-7.40± 4.55 mm. Postoperatively, we recorded a mean ATD of 8.70± 2.15 mm, with significant changes (increase in distance postoperative (p=0.005). Postoperative </w:t>
      </w:r>
      <w:r w:rsidRPr="00896243">
        <w:rPr>
          <w:rFonts w:asciiTheme="majorBidi" w:hAnsiTheme="majorBidi" w:cstheme="majorBidi"/>
          <w:color w:val="000000" w:themeColor="text1"/>
        </w:rPr>
        <w:t>FNSA</w:t>
      </w:r>
      <w:r w:rsidRPr="00896243">
        <w:rPr>
          <w:rFonts w:ascii="Times New Roman" w:eastAsia="Calibri" w:hAnsi="Times New Roman" w:cs="Times New Roman"/>
          <w:color w:val="000000" w:themeColor="text1"/>
        </w:rPr>
        <w:t xml:space="preserve"> and ATD improved significantly in fixator group than plate group (p=0.021 &amp; 0.024, respectively) (Table 2).</w:t>
      </w:r>
    </w:p>
    <w:p w14:paraId="72E88D41" w14:textId="77777777" w:rsidR="00B0733B" w:rsidRPr="00896243" w:rsidRDefault="00B0733B" w:rsidP="00B0733B">
      <w:pPr>
        <w:spacing w:after="160" w:line="360" w:lineRule="auto"/>
        <w:jc w:val="both"/>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Regarding complications, there were two cases in group A had Pin tract infection and one case in group B had Plate break and revision with no significant differences between the both groups (p= 0.217). There was significant decrease in HE angle postoperative compared to preoperative in both groups (p=0.005). Also, postoperative HE angle improved significantly in fixator group than plate group (p=0.044). Operative time was found to be significantly higher in group B compared to group A (p&lt;0.001). Also, rate of blood loos was found to be significantly higher in group B compared to group A (p&lt;0.001) as shown in table (3).</w:t>
      </w:r>
    </w:p>
    <w:p w14:paraId="5E7FEAE7" w14:textId="77777777" w:rsidR="00B0733B" w:rsidRPr="00896243" w:rsidRDefault="00B0733B" w:rsidP="00B0733B">
      <w:pPr>
        <w:spacing w:after="160" w:line="360" w:lineRule="auto"/>
        <w:jc w:val="both"/>
        <w:rPr>
          <w:rFonts w:ascii="Times New Roman" w:eastAsia="Calibri" w:hAnsi="Times New Roman" w:cs="Times New Roman"/>
          <w:b/>
          <w:bCs/>
          <w:i/>
          <w:iCs/>
          <w:color w:val="000000" w:themeColor="text1"/>
          <w:sz w:val="32"/>
          <w:szCs w:val="32"/>
          <w:lang w:val="en-GB"/>
        </w:rPr>
      </w:pPr>
      <w:r w:rsidRPr="00896243">
        <w:rPr>
          <w:rFonts w:ascii="Times New Roman" w:eastAsia="Calibri" w:hAnsi="Times New Roman" w:cs="Times New Roman"/>
          <w:b/>
          <w:bCs/>
          <w:color w:val="000000" w:themeColor="text1"/>
        </w:rPr>
        <w:t xml:space="preserve">Table 1. Demographic characteristics </w:t>
      </w:r>
      <w:r w:rsidRPr="00896243">
        <w:rPr>
          <w:rFonts w:ascii="Times New Roman" w:eastAsia="Calibri" w:hAnsi="Times New Roman" w:cs="Arial"/>
          <w:b/>
          <w:bCs/>
          <w:color w:val="000000" w:themeColor="text1"/>
        </w:rPr>
        <w:t>o</w:t>
      </w:r>
      <w:r w:rsidRPr="00896243">
        <w:rPr>
          <w:rFonts w:ascii="Times New Roman" w:eastAsia="Calibri" w:hAnsi="Times New Roman" w:cs="Times New Roman"/>
          <w:b/>
          <w:bCs/>
          <w:color w:val="000000" w:themeColor="text1"/>
        </w:rPr>
        <w:t>f the study group</w:t>
      </w:r>
    </w:p>
    <w:tbl>
      <w:tblPr>
        <w:tblStyle w:val="GridTable2-Accent51"/>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1322"/>
        <w:gridCol w:w="990"/>
        <w:gridCol w:w="990"/>
        <w:gridCol w:w="902"/>
        <w:gridCol w:w="1202"/>
        <w:gridCol w:w="1627"/>
        <w:gridCol w:w="12"/>
      </w:tblGrid>
      <w:tr w:rsidR="00B0733B" w:rsidRPr="00896243" w14:paraId="4FCE8BB7" w14:textId="77777777" w:rsidTr="00957B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6" w:type="dxa"/>
            <w:gridSpan w:val="2"/>
            <w:vMerge w:val="restart"/>
            <w:shd w:val="clear" w:color="auto" w:fill="auto"/>
            <w:vAlign w:val="center"/>
          </w:tcPr>
          <w:p w14:paraId="6C637628" w14:textId="77777777" w:rsidR="00B0733B" w:rsidRPr="00896243" w:rsidRDefault="00B0733B" w:rsidP="00957BCE">
            <w:pPr>
              <w:rPr>
                <w:rFonts w:ascii="Times New Roman" w:eastAsia="Calibri" w:hAnsi="Times New Roman" w:cs="Times New Roman"/>
                <w:b w:val="0"/>
                <w:bCs w:val="0"/>
                <w:color w:val="000000" w:themeColor="text1"/>
              </w:rPr>
            </w:pPr>
          </w:p>
        </w:tc>
        <w:tc>
          <w:tcPr>
            <w:tcW w:w="1980" w:type="dxa"/>
            <w:gridSpan w:val="2"/>
            <w:shd w:val="clear" w:color="auto" w:fill="auto"/>
          </w:tcPr>
          <w:p w14:paraId="3EB8DF5B" w14:textId="77777777" w:rsidR="00B0733B" w:rsidRPr="00896243" w:rsidRDefault="00B0733B" w:rsidP="00957BC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themeColor="text1"/>
              </w:rPr>
            </w:pPr>
            <w:r w:rsidRPr="00896243">
              <w:rPr>
                <w:rFonts w:ascii="Times New Roman" w:eastAsia="Calibri" w:hAnsi="Times New Roman" w:cs="Times New Roman"/>
                <w:color w:val="000000" w:themeColor="text1"/>
              </w:rPr>
              <w:t xml:space="preserve">group A </w:t>
            </w:r>
          </w:p>
          <w:p w14:paraId="555D8597" w14:textId="77777777" w:rsidR="00B0733B" w:rsidRPr="00896243" w:rsidRDefault="00B0733B" w:rsidP="00957BC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themeColor="text1"/>
              </w:rPr>
            </w:pPr>
            <w:r w:rsidRPr="00896243">
              <w:rPr>
                <w:rFonts w:ascii="Times New Roman" w:eastAsia="Calibri" w:hAnsi="Times New Roman" w:cs="Times New Roman"/>
                <w:color w:val="000000" w:themeColor="text1"/>
              </w:rPr>
              <w:t>with fixator (n=10)</w:t>
            </w:r>
          </w:p>
        </w:tc>
        <w:tc>
          <w:tcPr>
            <w:tcW w:w="2104" w:type="dxa"/>
            <w:gridSpan w:val="2"/>
            <w:shd w:val="clear" w:color="auto" w:fill="auto"/>
            <w:vAlign w:val="center"/>
          </w:tcPr>
          <w:p w14:paraId="7FDAE265" w14:textId="77777777" w:rsidR="00B0733B" w:rsidRPr="00896243" w:rsidRDefault="00B0733B" w:rsidP="00957BC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themeColor="text1"/>
              </w:rPr>
            </w:pPr>
            <w:r w:rsidRPr="00896243">
              <w:rPr>
                <w:rFonts w:ascii="Times New Roman" w:eastAsia="Calibri" w:hAnsi="Times New Roman" w:cs="Times New Roman"/>
                <w:color w:val="000000" w:themeColor="text1"/>
              </w:rPr>
              <w:t xml:space="preserve">group B </w:t>
            </w:r>
          </w:p>
          <w:p w14:paraId="0B2C3627" w14:textId="77777777" w:rsidR="00B0733B" w:rsidRPr="00896243" w:rsidRDefault="00B0733B" w:rsidP="00957BC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themeColor="text1"/>
              </w:rPr>
            </w:pPr>
            <w:r w:rsidRPr="00896243">
              <w:rPr>
                <w:rFonts w:ascii="Times New Roman" w:eastAsia="Calibri" w:hAnsi="Times New Roman" w:cs="Times New Roman"/>
                <w:color w:val="000000" w:themeColor="text1"/>
              </w:rPr>
              <w:t xml:space="preserve">with plate </w:t>
            </w:r>
          </w:p>
          <w:p w14:paraId="3A263A94" w14:textId="77777777" w:rsidR="00B0733B" w:rsidRPr="00896243" w:rsidRDefault="00B0733B" w:rsidP="00957BC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themeColor="text1"/>
              </w:rPr>
            </w:pPr>
            <w:r w:rsidRPr="00896243">
              <w:rPr>
                <w:rFonts w:ascii="Times New Roman" w:eastAsia="Calibri" w:hAnsi="Times New Roman" w:cs="Times New Roman"/>
                <w:color w:val="000000" w:themeColor="text1"/>
              </w:rPr>
              <w:t>(n=10)</w:t>
            </w:r>
          </w:p>
        </w:tc>
        <w:tc>
          <w:tcPr>
            <w:tcW w:w="1639" w:type="dxa"/>
            <w:gridSpan w:val="2"/>
            <w:shd w:val="clear" w:color="auto" w:fill="auto"/>
          </w:tcPr>
          <w:p w14:paraId="67A21362" w14:textId="77777777" w:rsidR="00B0733B" w:rsidRPr="00896243" w:rsidRDefault="00B0733B" w:rsidP="00957BC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 xml:space="preserve">p- value </w:t>
            </w:r>
          </w:p>
        </w:tc>
      </w:tr>
      <w:tr w:rsidR="00B0733B" w:rsidRPr="00896243" w14:paraId="265C25B0" w14:textId="77777777" w:rsidTr="00957BCE">
        <w:trPr>
          <w:gridAfter w:val="1"/>
          <w:cnfStyle w:val="000000100000" w:firstRow="0" w:lastRow="0" w:firstColumn="0" w:lastColumn="0" w:oddVBand="0" w:evenVBand="0" w:oddHBand="1" w:evenHBand="0" w:firstRowFirstColumn="0" w:firstRowLastColumn="0" w:lastRowFirstColumn="0" w:lastRowLastColumn="0"/>
          <w:wAfter w:w="12" w:type="dxa"/>
          <w:jc w:val="center"/>
        </w:trPr>
        <w:tc>
          <w:tcPr>
            <w:cnfStyle w:val="001000000000" w:firstRow="0" w:lastRow="0" w:firstColumn="1" w:lastColumn="0" w:oddVBand="0" w:evenVBand="0" w:oddHBand="0" w:evenHBand="0" w:firstRowFirstColumn="0" w:firstRowLastColumn="0" w:lastRowFirstColumn="0" w:lastRowLastColumn="0"/>
            <w:tcW w:w="3146" w:type="dxa"/>
            <w:gridSpan w:val="2"/>
            <w:vMerge/>
            <w:shd w:val="clear" w:color="auto" w:fill="auto"/>
            <w:vAlign w:val="center"/>
          </w:tcPr>
          <w:p w14:paraId="41D2C1A6" w14:textId="77777777" w:rsidR="00B0733B" w:rsidRPr="00896243" w:rsidRDefault="00B0733B" w:rsidP="00957BCE">
            <w:pPr>
              <w:rPr>
                <w:rFonts w:ascii="Times New Roman" w:eastAsia="Calibri" w:hAnsi="Times New Roman" w:cs="Times New Roman"/>
                <w:b w:val="0"/>
                <w:bCs w:val="0"/>
                <w:color w:val="000000" w:themeColor="text1"/>
              </w:rPr>
            </w:pPr>
          </w:p>
        </w:tc>
        <w:tc>
          <w:tcPr>
            <w:tcW w:w="990" w:type="dxa"/>
            <w:shd w:val="clear" w:color="auto" w:fill="auto"/>
          </w:tcPr>
          <w:p w14:paraId="4D5BD2CC"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n</w:t>
            </w:r>
          </w:p>
        </w:tc>
        <w:tc>
          <w:tcPr>
            <w:tcW w:w="990" w:type="dxa"/>
            <w:shd w:val="clear" w:color="auto" w:fill="auto"/>
          </w:tcPr>
          <w:p w14:paraId="56B2BF9D"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w:t>
            </w:r>
          </w:p>
        </w:tc>
        <w:tc>
          <w:tcPr>
            <w:tcW w:w="902" w:type="dxa"/>
            <w:shd w:val="clear" w:color="auto" w:fill="auto"/>
          </w:tcPr>
          <w:p w14:paraId="226DCC45"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n</w:t>
            </w:r>
          </w:p>
        </w:tc>
        <w:tc>
          <w:tcPr>
            <w:tcW w:w="1202" w:type="dxa"/>
            <w:shd w:val="clear" w:color="auto" w:fill="auto"/>
          </w:tcPr>
          <w:p w14:paraId="69422B8F"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w:t>
            </w:r>
          </w:p>
        </w:tc>
        <w:tc>
          <w:tcPr>
            <w:tcW w:w="1627" w:type="dxa"/>
            <w:shd w:val="clear" w:color="auto" w:fill="auto"/>
          </w:tcPr>
          <w:p w14:paraId="2A8E0B81"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p>
        </w:tc>
      </w:tr>
      <w:tr w:rsidR="00B0733B" w:rsidRPr="00896243" w14:paraId="10F52186" w14:textId="77777777" w:rsidTr="00957BCE">
        <w:trPr>
          <w:jc w:val="center"/>
        </w:trPr>
        <w:tc>
          <w:tcPr>
            <w:cnfStyle w:val="001000000000" w:firstRow="0" w:lastRow="0" w:firstColumn="1" w:lastColumn="0" w:oddVBand="0" w:evenVBand="0" w:oddHBand="0" w:evenHBand="0" w:firstRowFirstColumn="0" w:firstRowLastColumn="0" w:lastRowFirstColumn="0" w:lastRowLastColumn="0"/>
            <w:tcW w:w="1824" w:type="dxa"/>
            <w:shd w:val="clear" w:color="auto" w:fill="auto"/>
            <w:vAlign w:val="center"/>
          </w:tcPr>
          <w:p w14:paraId="381E91E7" w14:textId="77777777" w:rsidR="00B0733B" w:rsidRPr="00896243" w:rsidRDefault="00B0733B" w:rsidP="00957BCE">
            <w:pPr>
              <w:jc w:val="center"/>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Age (years)</w:t>
            </w:r>
          </w:p>
        </w:tc>
        <w:tc>
          <w:tcPr>
            <w:tcW w:w="1322" w:type="dxa"/>
            <w:shd w:val="clear" w:color="auto" w:fill="auto"/>
            <w:vAlign w:val="center"/>
          </w:tcPr>
          <w:p w14:paraId="07D010E8" w14:textId="77777777" w:rsidR="00B0733B" w:rsidRPr="00896243" w:rsidRDefault="00B0733B" w:rsidP="00957BC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mean± SD</w:t>
            </w:r>
          </w:p>
          <w:p w14:paraId="54253A6B" w14:textId="77777777" w:rsidR="00B0733B" w:rsidRPr="00896243" w:rsidRDefault="00B0733B" w:rsidP="00957BC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 xml:space="preserve">median </w:t>
            </w:r>
          </w:p>
          <w:p w14:paraId="333F062B" w14:textId="77777777" w:rsidR="00B0733B" w:rsidRPr="00896243" w:rsidRDefault="00B0733B" w:rsidP="00957BC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 xml:space="preserve">Range </w:t>
            </w:r>
          </w:p>
        </w:tc>
        <w:tc>
          <w:tcPr>
            <w:tcW w:w="1980" w:type="dxa"/>
            <w:gridSpan w:val="2"/>
            <w:shd w:val="clear" w:color="auto" w:fill="auto"/>
          </w:tcPr>
          <w:p w14:paraId="13DC7DA9"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8.50± 1.08</w:t>
            </w:r>
          </w:p>
          <w:p w14:paraId="0CCD6E4D"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8.50</w:t>
            </w:r>
          </w:p>
          <w:p w14:paraId="400D3266"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7.0- 10.0</w:t>
            </w:r>
          </w:p>
        </w:tc>
        <w:tc>
          <w:tcPr>
            <w:tcW w:w="2104" w:type="dxa"/>
            <w:gridSpan w:val="2"/>
            <w:shd w:val="clear" w:color="auto" w:fill="auto"/>
            <w:vAlign w:val="center"/>
          </w:tcPr>
          <w:p w14:paraId="55535642"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8.30± 1.49</w:t>
            </w:r>
          </w:p>
          <w:p w14:paraId="79210EB2"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8.0</w:t>
            </w:r>
          </w:p>
          <w:p w14:paraId="043DB203"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7.0- 11.0</w:t>
            </w:r>
          </w:p>
        </w:tc>
        <w:tc>
          <w:tcPr>
            <w:tcW w:w="1639" w:type="dxa"/>
            <w:gridSpan w:val="2"/>
            <w:shd w:val="clear" w:color="auto" w:fill="auto"/>
          </w:tcPr>
          <w:p w14:paraId="4DE2CD91"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vertAlign w:val="superscript"/>
              </w:rPr>
            </w:pPr>
            <w:r w:rsidRPr="00896243">
              <w:rPr>
                <w:rFonts w:ascii="Times New Roman" w:eastAsia="Calibri" w:hAnsi="Times New Roman" w:cs="Times New Roman"/>
                <w:color w:val="000000" w:themeColor="text1"/>
              </w:rPr>
              <w:t>0.579</w:t>
            </w:r>
            <w:r w:rsidRPr="00896243">
              <w:rPr>
                <w:rFonts w:ascii="Times New Roman" w:eastAsia="Calibri" w:hAnsi="Times New Roman" w:cs="Times New Roman"/>
                <w:color w:val="000000" w:themeColor="text1"/>
                <w:vertAlign w:val="superscript"/>
              </w:rPr>
              <w:t>╪</w:t>
            </w:r>
          </w:p>
        </w:tc>
      </w:tr>
      <w:tr w:rsidR="00B0733B" w:rsidRPr="00896243" w14:paraId="73575076" w14:textId="77777777" w:rsidTr="00957BC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24" w:type="dxa"/>
            <w:vMerge w:val="restart"/>
            <w:shd w:val="clear" w:color="auto" w:fill="auto"/>
            <w:vAlign w:val="center"/>
          </w:tcPr>
          <w:p w14:paraId="2713D019" w14:textId="77777777" w:rsidR="00B0733B" w:rsidRPr="00896243" w:rsidRDefault="00B0733B" w:rsidP="00957BCE">
            <w:pPr>
              <w:jc w:val="center"/>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Gender</w:t>
            </w:r>
          </w:p>
        </w:tc>
        <w:tc>
          <w:tcPr>
            <w:tcW w:w="1322" w:type="dxa"/>
            <w:shd w:val="clear" w:color="auto" w:fill="auto"/>
            <w:vAlign w:val="center"/>
          </w:tcPr>
          <w:p w14:paraId="3E230E52" w14:textId="77777777" w:rsidR="00B0733B" w:rsidRPr="00896243" w:rsidRDefault="00B0733B" w:rsidP="00957BC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 xml:space="preserve">Male </w:t>
            </w:r>
          </w:p>
        </w:tc>
        <w:tc>
          <w:tcPr>
            <w:tcW w:w="990" w:type="dxa"/>
            <w:shd w:val="clear" w:color="auto" w:fill="auto"/>
          </w:tcPr>
          <w:p w14:paraId="61E94551"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6</w:t>
            </w:r>
          </w:p>
        </w:tc>
        <w:tc>
          <w:tcPr>
            <w:tcW w:w="990" w:type="dxa"/>
            <w:shd w:val="clear" w:color="auto" w:fill="auto"/>
          </w:tcPr>
          <w:p w14:paraId="4D1512FC"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60.0%</w:t>
            </w:r>
          </w:p>
        </w:tc>
        <w:tc>
          <w:tcPr>
            <w:tcW w:w="902" w:type="dxa"/>
            <w:shd w:val="clear" w:color="auto" w:fill="auto"/>
          </w:tcPr>
          <w:p w14:paraId="3C86303A"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7</w:t>
            </w:r>
          </w:p>
        </w:tc>
        <w:tc>
          <w:tcPr>
            <w:tcW w:w="1202" w:type="dxa"/>
            <w:shd w:val="clear" w:color="auto" w:fill="auto"/>
          </w:tcPr>
          <w:p w14:paraId="02F50361"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70.0%</w:t>
            </w:r>
          </w:p>
        </w:tc>
        <w:tc>
          <w:tcPr>
            <w:tcW w:w="1639" w:type="dxa"/>
            <w:gridSpan w:val="2"/>
            <w:vMerge w:val="restart"/>
            <w:shd w:val="clear" w:color="auto" w:fill="auto"/>
            <w:vAlign w:val="center"/>
          </w:tcPr>
          <w:p w14:paraId="0C8F5FB5"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 xml:space="preserve">1.00 </w:t>
            </w:r>
            <w:r w:rsidRPr="00896243">
              <w:rPr>
                <w:rFonts w:ascii="Times New Roman" w:eastAsia="Calibri" w:hAnsi="Times New Roman" w:cs="Times New Roman"/>
                <w:color w:val="000000" w:themeColor="text1"/>
                <w:vertAlign w:val="superscript"/>
              </w:rPr>
              <w:t>‡</w:t>
            </w:r>
          </w:p>
        </w:tc>
      </w:tr>
      <w:tr w:rsidR="00B0733B" w:rsidRPr="00896243" w14:paraId="4F1E0E08" w14:textId="77777777" w:rsidTr="00957BCE">
        <w:trPr>
          <w:trHeight w:val="255"/>
          <w:jc w:val="center"/>
        </w:trPr>
        <w:tc>
          <w:tcPr>
            <w:cnfStyle w:val="001000000000" w:firstRow="0" w:lastRow="0" w:firstColumn="1" w:lastColumn="0" w:oddVBand="0" w:evenVBand="0" w:oddHBand="0" w:evenHBand="0" w:firstRowFirstColumn="0" w:firstRowLastColumn="0" w:lastRowFirstColumn="0" w:lastRowLastColumn="0"/>
            <w:tcW w:w="1824" w:type="dxa"/>
            <w:vMerge/>
            <w:shd w:val="clear" w:color="auto" w:fill="auto"/>
            <w:vAlign w:val="center"/>
          </w:tcPr>
          <w:p w14:paraId="77B6A80E" w14:textId="77777777" w:rsidR="00B0733B" w:rsidRPr="00896243" w:rsidRDefault="00B0733B" w:rsidP="00957BCE">
            <w:pPr>
              <w:jc w:val="center"/>
              <w:rPr>
                <w:rFonts w:ascii="Times New Roman" w:eastAsia="Calibri" w:hAnsi="Times New Roman" w:cs="Times New Roman"/>
                <w:color w:val="000000" w:themeColor="text1"/>
              </w:rPr>
            </w:pPr>
          </w:p>
        </w:tc>
        <w:tc>
          <w:tcPr>
            <w:tcW w:w="1322" w:type="dxa"/>
            <w:shd w:val="clear" w:color="auto" w:fill="auto"/>
            <w:vAlign w:val="center"/>
          </w:tcPr>
          <w:p w14:paraId="355A130E" w14:textId="77777777" w:rsidR="00B0733B" w:rsidRPr="00896243" w:rsidRDefault="00B0733B" w:rsidP="00957BC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b/>
                <w:bCs/>
                <w:color w:val="000000" w:themeColor="text1"/>
              </w:rPr>
              <w:t>Female</w:t>
            </w:r>
          </w:p>
        </w:tc>
        <w:tc>
          <w:tcPr>
            <w:tcW w:w="990" w:type="dxa"/>
            <w:shd w:val="clear" w:color="auto" w:fill="auto"/>
          </w:tcPr>
          <w:p w14:paraId="5B99BE33"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4</w:t>
            </w:r>
          </w:p>
        </w:tc>
        <w:tc>
          <w:tcPr>
            <w:tcW w:w="990" w:type="dxa"/>
            <w:shd w:val="clear" w:color="auto" w:fill="auto"/>
          </w:tcPr>
          <w:p w14:paraId="34229A9F"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40.0%</w:t>
            </w:r>
          </w:p>
        </w:tc>
        <w:tc>
          <w:tcPr>
            <w:tcW w:w="902" w:type="dxa"/>
            <w:shd w:val="clear" w:color="auto" w:fill="auto"/>
          </w:tcPr>
          <w:p w14:paraId="2E929569"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3</w:t>
            </w:r>
          </w:p>
        </w:tc>
        <w:tc>
          <w:tcPr>
            <w:tcW w:w="1202" w:type="dxa"/>
            <w:shd w:val="clear" w:color="auto" w:fill="auto"/>
          </w:tcPr>
          <w:p w14:paraId="487ABA35"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30.0%</w:t>
            </w:r>
          </w:p>
        </w:tc>
        <w:tc>
          <w:tcPr>
            <w:tcW w:w="1639" w:type="dxa"/>
            <w:gridSpan w:val="2"/>
            <w:vMerge/>
            <w:shd w:val="clear" w:color="auto" w:fill="auto"/>
          </w:tcPr>
          <w:p w14:paraId="27464DA9"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p>
        </w:tc>
      </w:tr>
    </w:tbl>
    <w:p w14:paraId="4F0D273E" w14:textId="77777777" w:rsidR="00B0733B" w:rsidRPr="00896243" w:rsidRDefault="00B0733B" w:rsidP="00B0733B">
      <w:pPr>
        <w:spacing w:after="160" w:line="259" w:lineRule="auto"/>
        <w:rPr>
          <w:rFonts w:ascii="Times New Roman" w:eastAsia="Calibri" w:hAnsi="Times New Roman" w:cs="Times New Roman"/>
          <w:color w:val="000000" w:themeColor="text1"/>
          <w:vertAlign w:val="superscript"/>
        </w:rPr>
      </w:pPr>
      <w:r w:rsidRPr="00896243">
        <w:rPr>
          <w:rFonts w:ascii="Times New Roman" w:eastAsia="Calibri" w:hAnsi="Times New Roman" w:cs="Times New Roman"/>
          <w:color w:val="000000" w:themeColor="text1"/>
          <w:vertAlign w:val="superscript"/>
        </w:rPr>
        <w:t>╪ Mann- Whitney U test, ‡ Fischer Exact Test</w:t>
      </w:r>
    </w:p>
    <w:p w14:paraId="46A7434D" w14:textId="77777777" w:rsidR="00B0733B" w:rsidRPr="00896243" w:rsidRDefault="00B0733B" w:rsidP="00B0733B">
      <w:pPr>
        <w:spacing w:after="160" w:line="259" w:lineRule="auto"/>
        <w:rPr>
          <w:rFonts w:ascii="Times New Roman" w:eastAsia="Calibri" w:hAnsi="Times New Roman" w:cs="Times New Roman"/>
          <w:color w:val="000000" w:themeColor="text1"/>
          <w:vertAlign w:val="superscript"/>
        </w:rPr>
      </w:pPr>
    </w:p>
    <w:p w14:paraId="19CDA948" w14:textId="77777777" w:rsidR="00B0733B" w:rsidRPr="00896243" w:rsidRDefault="00B0733B" w:rsidP="00B0733B">
      <w:pPr>
        <w:spacing w:after="160" w:line="259" w:lineRule="auto"/>
        <w:rPr>
          <w:rFonts w:ascii="Times New Roman" w:eastAsia="Calibri" w:hAnsi="Times New Roman" w:cs="Times New Roman"/>
          <w:b/>
          <w:bCs/>
          <w:color w:val="000000" w:themeColor="text1"/>
          <w:vertAlign w:val="superscript"/>
        </w:rPr>
      </w:pPr>
      <w:r w:rsidRPr="00896243">
        <w:rPr>
          <w:rFonts w:ascii="Times New Roman" w:eastAsia="Calibri" w:hAnsi="Times New Roman" w:cs="Times New Roman"/>
          <w:b/>
          <w:bCs/>
          <w:color w:val="000000" w:themeColor="text1"/>
        </w:rPr>
        <w:t>Table 2. Preoperative and postoperative FNSA and ATD in the two studied groups</w:t>
      </w:r>
    </w:p>
    <w:tbl>
      <w:tblPr>
        <w:tblStyle w:val="GridTable2-Accent51"/>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2005"/>
        <w:gridCol w:w="2109"/>
        <w:gridCol w:w="17"/>
        <w:gridCol w:w="2126"/>
        <w:gridCol w:w="1418"/>
      </w:tblGrid>
      <w:tr w:rsidR="00B0733B" w:rsidRPr="00896243" w14:paraId="49B4350D" w14:textId="77777777" w:rsidTr="00957B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8" w:type="dxa"/>
            <w:gridSpan w:val="2"/>
            <w:shd w:val="clear" w:color="auto" w:fill="auto"/>
            <w:vAlign w:val="center"/>
          </w:tcPr>
          <w:p w14:paraId="01E3ED80" w14:textId="77777777" w:rsidR="00B0733B" w:rsidRPr="00896243" w:rsidRDefault="00B0733B" w:rsidP="00957BCE">
            <w:pPr>
              <w:rPr>
                <w:rFonts w:ascii="Times New Roman" w:eastAsia="Calibri" w:hAnsi="Times New Roman" w:cs="Times New Roman"/>
                <w:b w:val="0"/>
                <w:bCs w:val="0"/>
                <w:color w:val="000000" w:themeColor="text1"/>
              </w:rPr>
            </w:pPr>
          </w:p>
        </w:tc>
        <w:tc>
          <w:tcPr>
            <w:tcW w:w="2109" w:type="dxa"/>
            <w:shd w:val="clear" w:color="auto" w:fill="auto"/>
          </w:tcPr>
          <w:p w14:paraId="201AFFC6" w14:textId="77777777" w:rsidR="00B0733B" w:rsidRPr="00896243" w:rsidRDefault="00B0733B" w:rsidP="00957BC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themeColor="text1"/>
              </w:rPr>
            </w:pPr>
            <w:r w:rsidRPr="00896243">
              <w:rPr>
                <w:rFonts w:ascii="Times New Roman" w:eastAsia="Calibri" w:hAnsi="Times New Roman" w:cs="Times New Roman"/>
                <w:color w:val="000000" w:themeColor="text1"/>
              </w:rPr>
              <w:t xml:space="preserve">group A </w:t>
            </w:r>
          </w:p>
          <w:p w14:paraId="46D31238" w14:textId="77777777" w:rsidR="00B0733B" w:rsidRPr="00896243" w:rsidRDefault="00B0733B" w:rsidP="00957BC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themeColor="text1"/>
              </w:rPr>
            </w:pPr>
            <w:r w:rsidRPr="00896243">
              <w:rPr>
                <w:rFonts w:ascii="Times New Roman" w:eastAsia="Calibri" w:hAnsi="Times New Roman" w:cs="Times New Roman"/>
                <w:color w:val="000000" w:themeColor="text1"/>
              </w:rPr>
              <w:t xml:space="preserve">with fixator </w:t>
            </w:r>
          </w:p>
          <w:p w14:paraId="2A6EBD2C" w14:textId="77777777" w:rsidR="00B0733B" w:rsidRPr="00896243" w:rsidRDefault="00B0733B" w:rsidP="00957BC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themeColor="text1"/>
              </w:rPr>
            </w:pPr>
            <w:r w:rsidRPr="00896243">
              <w:rPr>
                <w:rFonts w:ascii="Times New Roman" w:eastAsia="Calibri" w:hAnsi="Times New Roman" w:cs="Times New Roman"/>
                <w:color w:val="000000" w:themeColor="text1"/>
              </w:rPr>
              <w:t>(n=10)</w:t>
            </w:r>
          </w:p>
        </w:tc>
        <w:tc>
          <w:tcPr>
            <w:tcW w:w="2143" w:type="dxa"/>
            <w:gridSpan w:val="2"/>
            <w:shd w:val="clear" w:color="auto" w:fill="auto"/>
            <w:vAlign w:val="center"/>
          </w:tcPr>
          <w:p w14:paraId="755BF7C1" w14:textId="77777777" w:rsidR="00B0733B" w:rsidRPr="00896243" w:rsidRDefault="00B0733B" w:rsidP="00957BC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themeColor="text1"/>
              </w:rPr>
            </w:pPr>
            <w:r w:rsidRPr="00896243">
              <w:rPr>
                <w:rFonts w:ascii="Times New Roman" w:eastAsia="Calibri" w:hAnsi="Times New Roman" w:cs="Times New Roman"/>
                <w:color w:val="000000" w:themeColor="text1"/>
              </w:rPr>
              <w:t xml:space="preserve">group B </w:t>
            </w:r>
          </w:p>
          <w:p w14:paraId="643C9ED9" w14:textId="77777777" w:rsidR="00B0733B" w:rsidRPr="00896243" w:rsidRDefault="00B0733B" w:rsidP="00957BC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themeColor="text1"/>
              </w:rPr>
            </w:pPr>
            <w:r w:rsidRPr="00896243">
              <w:rPr>
                <w:rFonts w:ascii="Times New Roman" w:eastAsia="Calibri" w:hAnsi="Times New Roman" w:cs="Times New Roman"/>
                <w:color w:val="000000" w:themeColor="text1"/>
              </w:rPr>
              <w:t xml:space="preserve">with plate </w:t>
            </w:r>
          </w:p>
          <w:p w14:paraId="04A6CEDE" w14:textId="77777777" w:rsidR="00B0733B" w:rsidRPr="00896243" w:rsidRDefault="00B0733B" w:rsidP="00957BC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themeColor="text1"/>
              </w:rPr>
            </w:pPr>
            <w:r w:rsidRPr="00896243">
              <w:rPr>
                <w:rFonts w:ascii="Times New Roman" w:eastAsia="Calibri" w:hAnsi="Times New Roman" w:cs="Times New Roman"/>
                <w:color w:val="000000" w:themeColor="text1"/>
              </w:rPr>
              <w:t>(n=10)</w:t>
            </w:r>
          </w:p>
        </w:tc>
        <w:tc>
          <w:tcPr>
            <w:tcW w:w="1418" w:type="dxa"/>
            <w:shd w:val="clear" w:color="auto" w:fill="auto"/>
          </w:tcPr>
          <w:p w14:paraId="0E5ABA92" w14:textId="77777777" w:rsidR="00B0733B" w:rsidRPr="00896243" w:rsidRDefault="00B0733B" w:rsidP="00957BC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 xml:space="preserve">p- value </w:t>
            </w:r>
            <w:r w:rsidRPr="00896243">
              <w:rPr>
                <w:rFonts w:ascii="Times New Roman" w:eastAsia="Calibri" w:hAnsi="Times New Roman" w:cs="Times New Roman"/>
                <w:color w:val="000000" w:themeColor="text1"/>
                <w:vertAlign w:val="superscript"/>
              </w:rPr>
              <w:t>╪</w:t>
            </w:r>
          </w:p>
        </w:tc>
      </w:tr>
      <w:tr w:rsidR="00B0733B" w:rsidRPr="00896243" w14:paraId="4F898736" w14:textId="77777777" w:rsidTr="00957B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3" w:type="dxa"/>
            <w:shd w:val="clear" w:color="auto" w:fill="auto"/>
            <w:vAlign w:val="center"/>
          </w:tcPr>
          <w:p w14:paraId="21640E8A" w14:textId="77777777" w:rsidR="00B0733B" w:rsidRPr="00896243" w:rsidRDefault="00B0733B" w:rsidP="00957BCE">
            <w:pPr>
              <w:jc w:val="center"/>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Femoral neck shaft angle (Pre.)</w:t>
            </w:r>
          </w:p>
        </w:tc>
        <w:tc>
          <w:tcPr>
            <w:tcW w:w="2005" w:type="dxa"/>
            <w:shd w:val="clear" w:color="auto" w:fill="auto"/>
            <w:vAlign w:val="center"/>
          </w:tcPr>
          <w:p w14:paraId="168E7D4E" w14:textId="77777777" w:rsidR="00B0733B" w:rsidRPr="00896243" w:rsidRDefault="00B0733B" w:rsidP="00957BC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mean± SD</w:t>
            </w:r>
          </w:p>
          <w:p w14:paraId="7369E383" w14:textId="77777777" w:rsidR="00B0733B" w:rsidRPr="00896243" w:rsidRDefault="00B0733B" w:rsidP="00957BC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 xml:space="preserve">median </w:t>
            </w:r>
          </w:p>
          <w:p w14:paraId="404A120D" w14:textId="77777777" w:rsidR="00B0733B" w:rsidRPr="00896243" w:rsidRDefault="00B0733B" w:rsidP="00957BC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 xml:space="preserve">Range </w:t>
            </w:r>
          </w:p>
        </w:tc>
        <w:tc>
          <w:tcPr>
            <w:tcW w:w="2126" w:type="dxa"/>
            <w:gridSpan w:val="2"/>
            <w:shd w:val="clear" w:color="auto" w:fill="auto"/>
            <w:vAlign w:val="center"/>
          </w:tcPr>
          <w:p w14:paraId="74A34121"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88.50± 6.69</w:t>
            </w:r>
          </w:p>
          <w:p w14:paraId="360688F9"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90.0</w:t>
            </w:r>
          </w:p>
          <w:p w14:paraId="33C18735"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80.0- 95.0</w:t>
            </w:r>
          </w:p>
        </w:tc>
        <w:tc>
          <w:tcPr>
            <w:tcW w:w="2126" w:type="dxa"/>
            <w:shd w:val="clear" w:color="auto" w:fill="auto"/>
            <w:vAlign w:val="center"/>
          </w:tcPr>
          <w:p w14:paraId="226CD26C"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88.0± 6.32</w:t>
            </w:r>
          </w:p>
          <w:p w14:paraId="43D14EBA"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90.0</w:t>
            </w:r>
          </w:p>
          <w:p w14:paraId="4FC61913"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80.0- 95.0</w:t>
            </w:r>
          </w:p>
        </w:tc>
        <w:tc>
          <w:tcPr>
            <w:tcW w:w="1418" w:type="dxa"/>
            <w:shd w:val="clear" w:color="auto" w:fill="auto"/>
            <w:vAlign w:val="center"/>
          </w:tcPr>
          <w:p w14:paraId="7DBCD021"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0.853</w:t>
            </w:r>
          </w:p>
        </w:tc>
      </w:tr>
      <w:tr w:rsidR="00B0733B" w:rsidRPr="00896243" w14:paraId="798354EA" w14:textId="77777777" w:rsidTr="00957BCE">
        <w:trPr>
          <w:jc w:val="center"/>
        </w:trPr>
        <w:tc>
          <w:tcPr>
            <w:cnfStyle w:val="001000000000" w:firstRow="0" w:lastRow="0" w:firstColumn="1" w:lastColumn="0" w:oddVBand="0" w:evenVBand="0" w:oddHBand="0" w:evenHBand="0" w:firstRowFirstColumn="0" w:firstRowLastColumn="0" w:lastRowFirstColumn="0" w:lastRowLastColumn="0"/>
            <w:tcW w:w="1823" w:type="dxa"/>
            <w:shd w:val="clear" w:color="auto" w:fill="auto"/>
            <w:vAlign w:val="center"/>
          </w:tcPr>
          <w:p w14:paraId="6A14FAF5" w14:textId="77777777" w:rsidR="00B0733B" w:rsidRPr="00896243" w:rsidRDefault="00B0733B" w:rsidP="00957BCE">
            <w:pPr>
              <w:jc w:val="center"/>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Femoral neck shaft angle (Post.)</w:t>
            </w:r>
          </w:p>
        </w:tc>
        <w:tc>
          <w:tcPr>
            <w:tcW w:w="2005" w:type="dxa"/>
            <w:shd w:val="clear" w:color="auto" w:fill="auto"/>
            <w:vAlign w:val="center"/>
          </w:tcPr>
          <w:p w14:paraId="41EC68C3" w14:textId="77777777" w:rsidR="00B0733B" w:rsidRPr="00896243" w:rsidRDefault="00B0733B" w:rsidP="00957BC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mean± SD</w:t>
            </w:r>
          </w:p>
          <w:p w14:paraId="257BDFED" w14:textId="77777777" w:rsidR="00B0733B" w:rsidRPr="00896243" w:rsidRDefault="00B0733B" w:rsidP="00957BC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 xml:space="preserve">median </w:t>
            </w:r>
          </w:p>
          <w:p w14:paraId="1C4A4DD5" w14:textId="77777777" w:rsidR="00B0733B" w:rsidRPr="00896243" w:rsidRDefault="00B0733B" w:rsidP="00957BC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 xml:space="preserve">Range </w:t>
            </w:r>
          </w:p>
        </w:tc>
        <w:tc>
          <w:tcPr>
            <w:tcW w:w="2126" w:type="dxa"/>
            <w:gridSpan w:val="2"/>
            <w:shd w:val="clear" w:color="auto" w:fill="auto"/>
            <w:vAlign w:val="center"/>
          </w:tcPr>
          <w:p w14:paraId="6998A9D6"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12</w:t>
            </w:r>
            <w:r w:rsidRPr="00896243">
              <w:rPr>
                <w:rFonts w:ascii="Times New Roman" w:eastAsia="Calibri" w:hAnsi="Times New Roman" w:cs="Times New Roman" w:hint="cs"/>
                <w:color w:val="000000" w:themeColor="text1"/>
                <w:rtl/>
              </w:rPr>
              <w:t>9</w:t>
            </w:r>
            <w:r w:rsidRPr="00896243">
              <w:rPr>
                <w:rFonts w:ascii="Times New Roman" w:eastAsia="Calibri" w:hAnsi="Times New Roman" w:cs="Times New Roman"/>
                <w:color w:val="000000" w:themeColor="text1"/>
              </w:rPr>
              <w:t>.10± 3.35</w:t>
            </w:r>
          </w:p>
          <w:p w14:paraId="20B85F32"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127.0</w:t>
            </w:r>
          </w:p>
          <w:p w14:paraId="5C28BC95"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120.0- 133.0</w:t>
            </w:r>
          </w:p>
        </w:tc>
        <w:tc>
          <w:tcPr>
            <w:tcW w:w="2126" w:type="dxa"/>
            <w:shd w:val="clear" w:color="auto" w:fill="auto"/>
            <w:vAlign w:val="center"/>
          </w:tcPr>
          <w:p w14:paraId="21D77B8B"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125.40± 3.17</w:t>
            </w:r>
          </w:p>
          <w:p w14:paraId="62AB4E0C"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125.0</w:t>
            </w:r>
          </w:p>
          <w:p w14:paraId="60DE184B"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120.0- 130.0</w:t>
            </w:r>
          </w:p>
        </w:tc>
        <w:tc>
          <w:tcPr>
            <w:tcW w:w="1418" w:type="dxa"/>
            <w:shd w:val="clear" w:color="auto" w:fill="auto"/>
            <w:vAlign w:val="center"/>
          </w:tcPr>
          <w:p w14:paraId="4356F1B4"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0.</w:t>
            </w:r>
            <w:r w:rsidRPr="00896243">
              <w:rPr>
                <w:rFonts w:ascii="Times New Roman" w:eastAsia="Calibri" w:hAnsi="Times New Roman" w:cs="Times New Roman" w:hint="cs"/>
                <w:b/>
                <w:bCs/>
                <w:color w:val="000000" w:themeColor="text1"/>
                <w:rtl/>
              </w:rPr>
              <w:t>021</w:t>
            </w:r>
            <w:r w:rsidRPr="00896243">
              <w:rPr>
                <w:rFonts w:ascii="Times New Roman" w:eastAsia="Calibri" w:hAnsi="Times New Roman" w:cs="Times New Roman"/>
                <w:b/>
                <w:bCs/>
                <w:color w:val="000000" w:themeColor="text1"/>
              </w:rPr>
              <w:t>*</w:t>
            </w:r>
          </w:p>
        </w:tc>
      </w:tr>
      <w:tr w:rsidR="00B0733B" w:rsidRPr="00896243" w14:paraId="37E4BDED" w14:textId="77777777" w:rsidTr="00957B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3" w:type="dxa"/>
            <w:shd w:val="clear" w:color="auto" w:fill="auto"/>
            <w:vAlign w:val="center"/>
          </w:tcPr>
          <w:p w14:paraId="3E5D7CA2" w14:textId="77777777" w:rsidR="00B0733B" w:rsidRPr="00896243" w:rsidRDefault="00B0733B" w:rsidP="00957BCE">
            <w:pPr>
              <w:jc w:val="center"/>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P-value (Pre/Post)</w:t>
            </w:r>
          </w:p>
        </w:tc>
        <w:tc>
          <w:tcPr>
            <w:tcW w:w="2005" w:type="dxa"/>
            <w:shd w:val="clear" w:color="auto" w:fill="auto"/>
            <w:vAlign w:val="center"/>
          </w:tcPr>
          <w:p w14:paraId="238334C9" w14:textId="77777777" w:rsidR="00B0733B" w:rsidRPr="00896243" w:rsidRDefault="00B0733B" w:rsidP="00957BC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p>
        </w:tc>
        <w:tc>
          <w:tcPr>
            <w:tcW w:w="2126" w:type="dxa"/>
            <w:gridSpan w:val="2"/>
            <w:shd w:val="clear" w:color="auto" w:fill="auto"/>
            <w:vAlign w:val="center"/>
          </w:tcPr>
          <w:p w14:paraId="7B8CC601"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0.005**</w:t>
            </w:r>
          </w:p>
        </w:tc>
        <w:tc>
          <w:tcPr>
            <w:tcW w:w="2126" w:type="dxa"/>
            <w:shd w:val="clear" w:color="auto" w:fill="auto"/>
            <w:vAlign w:val="center"/>
          </w:tcPr>
          <w:p w14:paraId="6294FD09"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0.005**</w:t>
            </w:r>
          </w:p>
        </w:tc>
        <w:tc>
          <w:tcPr>
            <w:tcW w:w="1418" w:type="dxa"/>
            <w:shd w:val="clear" w:color="auto" w:fill="auto"/>
            <w:vAlign w:val="center"/>
          </w:tcPr>
          <w:p w14:paraId="08BC3909"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p>
        </w:tc>
      </w:tr>
      <w:tr w:rsidR="00B0733B" w:rsidRPr="00896243" w14:paraId="0A32086D" w14:textId="77777777" w:rsidTr="00957BCE">
        <w:trPr>
          <w:jc w:val="center"/>
        </w:trPr>
        <w:tc>
          <w:tcPr>
            <w:cnfStyle w:val="001000000000" w:firstRow="0" w:lastRow="0" w:firstColumn="1" w:lastColumn="0" w:oddVBand="0" w:evenVBand="0" w:oddHBand="0" w:evenHBand="0" w:firstRowFirstColumn="0" w:firstRowLastColumn="0" w:lastRowFirstColumn="0" w:lastRowLastColumn="0"/>
            <w:tcW w:w="1823" w:type="dxa"/>
            <w:shd w:val="clear" w:color="auto" w:fill="auto"/>
            <w:vAlign w:val="center"/>
          </w:tcPr>
          <w:p w14:paraId="5D56F4A7" w14:textId="77777777" w:rsidR="00B0733B" w:rsidRPr="00896243" w:rsidRDefault="00B0733B" w:rsidP="00957BCE">
            <w:pPr>
              <w:jc w:val="center"/>
              <w:rPr>
                <w:rFonts w:ascii="Times New Roman" w:eastAsia="Calibri" w:hAnsi="Times New Roman" w:cs="Times New Roman"/>
                <w:color w:val="000000" w:themeColor="text1"/>
              </w:rPr>
            </w:pPr>
            <w:proofErr w:type="spellStart"/>
            <w:r w:rsidRPr="00896243">
              <w:rPr>
                <w:rFonts w:ascii="Times New Roman" w:eastAsia="Calibri" w:hAnsi="Times New Roman" w:cs="Times New Roman"/>
                <w:color w:val="000000" w:themeColor="text1"/>
              </w:rPr>
              <w:t>articulo</w:t>
            </w:r>
            <w:proofErr w:type="spellEnd"/>
            <w:r w:rsidRPr="00896243">
              <w:rPr>
                <w:rFonts w:ascii="Times New Roman" w:eastAsia="Calibri" w:hAnsi="Times New Roman" w:cs="Times New Roman"/>
                <w:color w:val="000000" w:themeColor="text1"/>
              </w:rPr>
              <w:t>-trochanteric distance (Pre.)</w:t>
            </w:r>
          </w:p>
        </w:tc>
        <w:tc>
          <w:tcPr>
            <w:tcW w:w="2005" w:type="dxa"/>
            <w:shd w:val="clear" w:color="auto" w:fill="auto"/>
            <w:vAlign w:val="center"/>
          </w:tcPr>
          <w:p w14:paraId="6BF4966A" w14:textId="77777777" w:rsidR="00B0733B" w:rsidRPr="00896243" w:rsidRDefault="00B0733B" w:rsidP="00957BC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mean± SD</w:t>
            </w:r>
          </w:p>
          <w:p w14:paraId="213B41FE" w14:textId="77777777" w:rsidR="00B0733B" w:rsidRPr="00896243" w:rsidRDefault="00B0733B" w:rsidP="00957BC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 xml:space="preserve">median </w:t>
            </w:r>
          </w:p>
          <w:p w14:paraId="795F6CE2" w14:textId="77777777" w:rsidR="00B0733B" w:rsidRPr="00896243" w:rsidRDefault="00B0733B" w:rsidP="00957BC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 xml:space="preserve">Range </w:t>
            </w:r>
          </w:p>
        </w:tc>
        <w:tc>
          <w:tcPr>
            <w:tcW w:w="2126" w:type="dxa"/>
            <w:gridSpan w:val="2"/>
            <w:shd w:val="clear" w:color="auto" w:fill="auto"/>
            <w:vAlign w:val="center"/>
          </w:tcPr>
          <w:p w14:paraId="5CE12278"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-7.40± 4.55</w:t>
            </w:r>
          </w:p>
          <w:p w14:paraId="43F445E9"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-10.0</w:t>
            </w:r>
          </w:p>
          <w:p w14:paraId="0D2AE034"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-12.0- 0.0</w:t>
            </w:r>
          </w:p>
        </w:tc>
        <w:tc>
          <w:tcPr>
            <w:tcW w:w="2126" w:type="dxa"/>
            <w:shd w:val="clear" w:color="auto" w:fill="auto"/>
            <w:vAlign w:val="center"/>
          </w:tcPr>
          <w:p w14:paraId="40E7D53A"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-7.40± 4.55</w:t>
            </w:r>
          </w:p>
          <w:p w14:paraId="18EBDD9A"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-10.0</w:t>
            </w:r>
          </w:p>
          <w:p w14:paraId="2BA11405"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-12.0- 0.0</w:t>
            </w:r>
          </w:p>
        </w:tc>
        <w:tc>
          <w:tcPr>
            <w:tcW w:w="1418" w:type="dxa"/>
            <w:shd w:val="clear" w:color="auto" w:fill="auto"/>
            <w:vAlign w:val="center"/>
          </w:tcPr>
          <w:p w14:paraId="5D89CAB2"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1.00</w:t>
            </w:r>
          </w:p>
        </w:tc>
      </w:tr>
      <w:tr w:rsidR="00B0733B" w:rsidRPr="00896243" w14:paraId="31B52411" w14:textId="77777777" w:rsidTr="00957B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3" w:type="dxa"/>
            <w:shd w:val="clear" w:color="auto" w:fill="auto"/>
            <w:vAlign w:val="center"/>
          </w:tcPr>
          <w:p w14:paraId="3C79F771" w14:textId="77777777" w:rsidR="00B0733B" w:rsidRPr="00896243" w:rsidRDefault="00B0733B" w:rsidP="00957BCE">
            <w:pPr>
              <w:jc w:val="center"/>
              <w:rPr>
                <w:rFonts w:ascii="Times New Roman" w:eastAsia="Calibri" w:hAnsi="Times New Roman" w:cs="Times New Roman"/>
                <w:color w:val="000000" w:themeColor="text1"/>
              </w:rPr>
            </w:pPr>
            <w:proofErr w:type="spellStart"/>
            <w:r w:rsidRPr="00896243">
              <w:rPr>
                <w:rFonts w:ascii="Times New Roman" w:eastAsia="Calibri" w:hAnsi="Times New Roman" w:cs="Times New Roman"/>
                <w:color w:val="000000" w:themeColor="text1"/>
              </w:rPr>
              <w:t>articulo</w:t>
            </w:r>
            <w:proofErr w:type="spellEnd"/>
            <w:r w:rsidRPr="00896243">
              <w:rPr>
                <w:rFonts w:ascii="Times New Roman" w:eastAsia="Calibri" w:hAnsi="Times New Roman" w:cs="Times New Roman"/>
                <w:color w:val="000000" w:themeColor="text1"/>
              </w:rPr>
              <w:t>-trochanteric distance (Post)</w:t>
            </w:r>
          </w:p>
        </w:tc>
        <w:tc>
          <w:tcPr>
            <w:tcW w:w="2005" w:type="dxa"/>
            <w:shd w:val="clear" w:color="auto" w:fill="auto"/>
            <w:vAlign w:val="center"/>
          </w:tcPr>
          <w:p w14:paraId="2E168C95" w14:textId="77777777" w:rsidR="00B0733B" w:rsidRPr="00896243" w:rsidRDefault="00B0733B" w:rsidP="00957BC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mean± SD</w:t>
            </w:r>
          </w:p>
          <w:p w14:paraId="321C0480" w14:textId="77777777" w:rsidR="00B0733B" w:rsidRPr="00896243" w:rsidRDefault="00B0733B" w:rsidP="00957BC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 xml:space="preserve">median </w:t>
            </w:r>
          </w:p>
          <w:p w14:paraId="77E56A34" w14:textId="77777777" w:rsidR="00B0733B" w:rsidRPr="00896243" w:rsidRDefault="00B0733B" w:rsidP="00957BC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 xml:space="preserve">Range </w:t>
            </w:r>
          </w:p>
        </w:tc>
        <w:tc>
          <w:tcPr>
            <w:tcW w:w="2126" w:type="dxa"/>
            <w:gridSpan w:val="2"/>
            <w:shd w:val="clear" w:color="auto" w:fill="auto"/>
            <w:vAlign w:val="center"/>
          </w:tcPr>
          <w:p w14:paraId="37284693"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11.70± 3.20</w:t>
            </w:r>
          </w:p>
          <w:p w14:paraId="1F284EA5"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9.50</w:t>
            </w:r>
          </w:p>
          <w:p w14:paraId="685DD03A"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5.0- 15.0</w:t>
            </w:r>
          </w:p>
        </w:tc>
        <w:tc>
          <w:tcPr>
            <w:tcW w:w="2126" w:type="dxa"/>
            <w:shd w:val="clear" w:color="auto" w:fill="auto"/>
            <w:vAlign w:val="center"/>
          </w:tcPr>
          <w:p w14:paraId="720A3B6D"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8.70± 2.15</w:t>
            </w:r>
          </w:p>
          <w:p w14:paraId="0D96B631"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7.50</w:t>
            </w:r>
          </w:p>
          <w:p w14:paraId="69D8375C"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5.0- 11.0</w:t>
            </w:r>
          </w:p>
        </w:tc>
        <w:tc>
          <w:tcPr>
            <w:tcW w:w="1418" w:type="dxa"/>
            <w:shd w:val="clear" w:color="auto" w:fill="auto"/>
            <w:vAlign w:val="center"/>
          </w:tcPr>
          <w:p w14:paraId="26D0C227"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0.024*</w:t>
            </w:r>
          </w:p>
        </w:tc>
      </w:tr>
      <w:tr w:rsidR="00B0733B" w:rsidRPr="00896243" w14:paraId="38B86412" w14:textId="77777777" w:rsidTr="00957BCE">
        <w:trPr>
          <w:jc w:val="center"/>
        </w:trPr>
        <w:tc>
          <w:tcPr>
            <w:cnfStyle w:val="001000000000" w:firstRow="0" w:lastRow="0" w:firstColumn="1" w:lastColumn="0" w:oddVBand="0" w:evenVBand="0" w:oddHBand="0" w:evenHBand="0" w:firstRowFirstColumn="0" w:firstRowLastColumn="0" w:lastRowFirstColumn="0" w:lastRowLastColumn="0"/>
            <w:tcW w:w="1823" w:type="dxa"/>
            <w:shd w:val="clear" w:color="auto" w:fill="auto"/>
            <w:vAlign w:val="center"/>
          </w:tcPr>
          <w:p w14:paraId="0D35681C" w14:textId="77777777" w:rsidR="00B0733B" w:rsidRPr="00896243" w:rsidRDefault="00B0733B" w:rsidP="00957BCE">
            <w:pPr>
              <w:jc w:val="center"/>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P-value (Pre/Post)</w:t>
            </w:r>
          </w:p>
        </w:tc>
        <w:tc>
          <w:tcPr>
            <w:tcW w:w="2005" w:type="dxa"/>
            <w:shd w:val="clear" w:color="auto" w:fill="auto"/>
            <w:vAlign w:val="center"/>
          </w:tcPr>
          <w:p w14:paraId="54E7BC08" w14:textId="77777777" w:rsidR="00B0733B" w:rsidRPr="00896243" w:rsidRDefault="00B0733B" w:rsidP="00957BC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rPr>
            </w:pPr>
          </w:p>
        </w:tc>
        <w:tc>
          <w:tcPr>
            <w:tcW w:w="2126" w:type="dxa"/>
            <w:gridSpan w:val="2"/>
            <w:shd w:val="clear" w:color="auto" w:fill="auto"/>
            <w:vAlign w:val="center"/>
          </w:tcPr>
          <w:p w14:paraId="59257225"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0.005**</w:t>
            </w:r>
          </w:p>
        </w:tc>
        <w:tc>
          <w:tcPr>
            <w:tcW w:w="2126" w:type="dxa"/>
            <w:shd w:val="clear" w:color="auto" w:fill="auto"/>
            <w:vAlign w:val="center"/>
          </w:tcPr>
          <w:p w14:paraId="0C98DD38"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0.005**</w:t>
            </w:r>
          </w:p>
        </w:tc>
        <w:tc>
          <w:tcPr>
            <w:tcW w:w="1418" w:type="dxa"/>
            <w:shd w:val="clear" w:color="auto" w:fill="auto"/>
            <w:vAlign w:val="center"/>
          </w:tcPr>
          <w:p w14:paraId="5F6B76C6"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rPr>
            </w:pPr>
          </w:p>
        </w:tc>
      </w:tr>
    </w:tbl>
    <w:p w14:paraId="14E3CDB9" w14:textId="77777777" w:rsidR="00B0733B" w:rsidRPr="00896243" w:rsidRDefault="00B0733B" w:rsidP="00B0733B">
      <w:pPr>
        <w:spacing w:after="160" w:line="259" w:lineRule="auto"/>
        <w:rPr>
          <w:rFonts w:ascii="Times New Roman" w:eastAsia="Calibri" w:hAnsi="Times New Roman" w:cs="Times New Roman"/>
          <w:color w:val="000000" w:themeColor="text1"/>
          <w:vertAlign w:val="superscript"/>
        </w:rPr>
      </w:pPr>
      <w:r w:rsidRPr="00896243">
        <w:rPr>
          <w:rFonts w:ascii="Times New Roman" w:eastAsia="Calibri" w:hAnsi="Times New Roman" w:cs="Times New Roman"/>
          <w:color w:val="000000" w:themeColor="text1"/>
          <w:vertAlign w:val="superscript"/>
        </w:rPr>
        <w:t xml:space="preserve">╪ Mann- Whitney U test, </w:t>
      </w:r>
    </w:p>
    <w:p w14:paraId="0257FB1E" w14:textId="77777777" w:rsidR="00B0733B" w:rsidRPr="00896243" w:rsidRDefault="00B0733B" w:rsidP="00B0733B">
      <w:pPr>
        <w:spacing w:after="160" w:line="360" w:lineRule="auto"/>
        <w:jc w:val="both"/>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Table 3. Postoperative outcome in the two studied groups</w:t>
      </w:r>
    </w:p>
    <w:tbl>
      <w:tblPr>
        <w:tblStyle w:val="GridTable2-Accent51"/>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2005"/>
        <w:gridCol w:w="1121"/>
        <w:gridCol w:w="988"/>
        <w:gridCol w:w="17"/>
        <w:gridCol w:w="887"/>
        <w:gridCol w:w="1239"/>
        <w:gridCol w:w="1418"/>
      </w:tblGrid>
      <w:tr w:rsidR="00B0733B" w:rsidRPr="00896243" w14:paraId="5710C569" w14:textId="77777777" w:rsidTr="00957B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8" w:type="dxa"/>
            <w:gridSpan w:val="2"/>
            <w:vMerge w:val="restart"/>
            <w:shd w:val="clear" w:color="auto" w:fill="auto"/>
            <w:vAlign w:val="center"/>
          </w:tcPr>
          <w:p w14:paraId="04495743" w14:textId="77777777" w:rsidR="00B0733B" w:rsidRPr="00896243" w:rsidRDefault="00B0733B" w:rsidP="00957BCE">
            <w:pPr>
              <w:rPr>
                <w:rFonts w:ascii="Times New Roman" w:eastAsia="Calibri" w:hAnsi="Times New Roman" w:cs="Times New Roman"/>
                <w:b w:val="0"/>
                <w:bCs w:val="0"/>
                <w:color w:val="000000" w:themeColor="text1"/>
              </w:rPr>
            </w:pPr>
          </w:p>
        </w:tc>
        <w:tc>
          <w:tcPr>
            <w:tcW w:w="2109" w:type="dxa"/>
            <w:gridSpan w:val="2"/>
            <w:shd w:val="clear" w:color="auto" w:fill="auto"/>
          </w:tcPr>
          <w:p w14:paraId="0CA56303" w14:textId="77777777" w:rsidR="00B0733B" w:rsidRPr="00896243" w:rsidRDefault="00B0733B" w:rsidP="00957BC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themeColor="text1"/>
              </w:rPr>
            </w:pPr>
            <w:r w:rsidRPr="00896243">
              <w:rPr>
                <w:rFonts w:ascii="Times New Roman" w:eastAsia="Calibri" w:hAnsi="Times New Roman" w:cs="Times New Roman"/>
                <w:color w:val="000000" w:themeColor="text1"/>
              </w:rPr>
              <w:t xml:space="preserve">group A </w:t>
            </w:r>
          </w:p>
          <w:p w14:paraId="3FD42101" w14:textId="77777777" w:rsidR="00B0733B" w:rsidRPr="00896243" w:rsidRDefault="00B0733B" w:rsidP="00957BC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themeColor="text1"/>
              </w:rPr>
            </w:pPr>
            <w:r w:rsidRPr="00896243">
              <w:rPr>
                <w:rFonts w:ascii="Times New Roman" w:eastAsia="Calibri" w:hAnsi="Times New Roman" w:cs="Times New Roman"/>
                <w:color w:val="000000" w:themeColor="text1"/>
              </w:rPr>
              <w:t xml:space="preserve">with fixator </w:t>
            </w:r>
          </w:p>
          <w:p w14:paraId="4802F36A" w14:textId="77777777" w:rsidR="00B0733B" w:rsidRPr="00896243" w:rsidRDefault="00B0733B" w:rsidP="00957BC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themeColor="text1"/>
              </w:rPr>
            </w:pPr>
            <w:r w:rsidRPr="00896243">
              <w:rPr>
                <w:rFonts w:ascii="Times New Roman" w:eastAsia="Calibri" w:hAnsi="Times New Roman" w:cs="Times New Roman"/>
                <w:color w:val="000000" w:themeColor="text1"/>
              </w:rPr>
              <w:t>(n=10)</w:t>
            </w:r>
          </w:p>
        </w:tc>
        <w:tc>
          <w:tcPr>
            <w:tcW w:w="2143" w:type="dxa"/>
            <w:gridSpan w:val="3"/>
            <w:shd w:val="clear" w:color="auto" w:fill="auto"/>
            <w:vAlign w:val="center"/>
          </w:tcPr>
          <w:p w14:paraId="34410A77" w14:textId="77777777" w:rsidR="00B0733B" w:rsidRPr="00896243" w:rsidRDefault="00B0733B" w:rsidP="00957BC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themeColor="text1"/>
              </w:rPr>
            </w:pPr>
            <w:r w:rsidRPr="00896243">
              <w:rPr>
                <w:rFonts w:ascii="Times New Roman" w:eastAsia="Calibri" w:hAnsi="Times New Roman" w:cs="Times New Roman"/>
                <w:color w:val="000000" w:themeColor="text1"/>
              </w:rPr>
              <w:t xml:space="preserve">group B </w:t>
            </w:r>
          </w:p>
          <w:p w14:paraId="3E3B52B8" w14:textId="77777777" w:rsidR="00B0733B" w:rsidRPr="00896243" w:rsidRDefault="00B0733B" w:rsidP="00957BC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themeColor="text1"/>
              </w:rPr>
            </w:pPr>
            <w:r w:rsidRPr="00896243">
              <w:rPr>
                <w:rFonts w:ascii="Times New Roman" w:eastAsia="Calibri" w:hAnsi="Times New Roman" w:cs="Times New Roman"/>
                <w:color w:val="000000" w:themeColor="text1"/>
              </w:rPr>
              <w:t xml:space="preserve">with plate </w:t>
            </w:r>
          </w:p>
          <w:p w14:paraId="04E12E5F" w14:textId="77777777" w:rsidR="00B0733B" w:rsidRPr="00896243" w:rsidRDefault="00B0733B" w:rsidP="00957BC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themeColor="text1"/>
              </w:rPr>
            </w:pPr>
            <w:r w:rsidRPr="00896243">
              <w:rPr>
                <w:rFonts w:ascii="Times New Roman" w:eastAsia="Calibri" w:hAnsi="Times New Roman" w:cs="Times New Roman"/>
                <w:color w:val="000000" w:themeColor="text1"/>
              </w:rPr>
              <w:t>(n=10)</w:t>
            </w:r>
          </w:p>
        </w:tc>
        <w:tc>
          <w:tcPr>
            <w:tcW w:w="1418" w:type="dxa"/>
            <w:vMerge w:val="restart"/>
            <w:shd w:val="clear" w:color="auto" w:fill="auto"/>
          </w:tcPr>
          <w:p w14:paraId="4DBC979A" w14:textId="77777777" w:rsidR="00B0733B" w:rsidRPr="00896243" w:rsidRDefault="00B0733B" w:rsidP="00957BC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themeColor="text1"/>
              </w:rPr>
            </w:pPr>
            <w:r w:rsidRPr="00896243">
              <w:rPr>
                <w:rFonts w:ascii="Times New Roman" w:eastAsia="Calibri" w:hAnsi="Times New Roman" w:cs="Times New Roman"/>
                <w:color w:val="000000" w:themeColor="text1"/>
              </w:rPr>
              <w:t xml:space="preserve">p- value </w:t>
            </w:r>
          </w:p>
        </w:tc>
      </w:tr>
      <w:tr w:rsidR="00B0733B" w:rsidRPr="00896243" w14:paraId="01980174" w14:textId="77777777" w:rsidTr="00957B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8" w:type="dxa"/>
            <w:gridSpan w:val="2"/>
            <w:vMerge/>
            <w:shd w:val="clear" w:color="auto" w:fill="auto"/>
            <w:vAlign w:val="center"/>
          </w:tcPr>
          <w:p w14:paraId="39723E83" w14:textId="77777777" w:rsidR="00B0733B" w:rsidRPr="00896243" w:rsidRDefault="00B0733B" w:rsidP="00957BCE">
            <w:pPr>
              <w:rPr>
                <w:rFonts w:ascii="Times New Roman" w:eastAsia="Calibri" w:hAnsi="Times New Roman" w:cs="Times New Roman"/>
                <w:b w:val="0"/>
                <w:bCs w:val="0"/>
                <w:color w:val="000000" w:themeColor="text1"/>
              </w:rPr>
            </w:pPr>
          </w:p>
        </w:tc>
        <w:tc>
          <w:tcPr>
            <w:tcW w:w="1121" w:type="dxa"/>
            <w:shd w:val="clear" w:color="auto" w:fill="auto"/>
          </w:tcPr>
          <w:p w14:paraId="6ED4FA9C"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n</w:t>
            </w:r>
          </w:p>
        </w:tc>
        <w:tc>
          <w:tcPr>
            <w:tcW w:w="988" w:type="dxa"/>
            <w:shd w:val="clear" w:color="auto" w:fill="auto"/>
          </w:tcPr>
          <w:p w14:paraId="7B9F1666"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w:t>
            </w:r>
          </w:p>
        </w:tc>
        <w:tc>
          <w:tcPr>
            <w:tcW w:w="904" w:type="dxa"/>
            <w:gridSpan w:val="2"/>
            <w:shd w:val="clear" w:color="auto" w:fill="auto"/>
          </w:tcPr>
          <w:p w14:paraId="212B3E45"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n</w:t>
            </w:r>
          </w:p>
        </w:tc>
        <w:tc>
          <w:tcPr>
            <w:tcW w:w="1239" w:type="dxa"/>
            <w:shd w:val="clear" w:color="auto" w:fill="auto"/>
          </w:tcPr>
          <w:p w14:paraId="1300903F"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w:t>
            </w:r>
          </w:p>
        </w:tc>
        <w:tc>
          <w:tcPr>
            <w:tcW w:w="1418" w:type="dxa"/>
            <w:vMerge/>
            <w:shd w:val="clear" w:color="auto" w:fill="auto"/>
          </w:tcPr>
          <w:p w14:paraId="17AA76B0"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p>
        </w:tc>
      </w:tr>
      <w:tr w:rsidR="00B0733B" w:rsidRPr="00896243" w14:paraId="42243B02" w14:textId="77777777" w:rsidTr="00957BCE">
        <w:trPr>
          <w:trHeight w:val="255"/>
          <w:jc w:val="center"/>
        </w:trPr>
        <w:tc>
          <w:tcPr>
            <w:cnfStyle w:val="001000000000" w:firstRow="0" w:lastRow="0" w:firstColumn="1" w:lastColumn="0" w:oddVBand="0" w:evenVBand="0" w:oddHBand="0" w:evenHBand="0" w:firstRowFirstColumn="0" w:firstRowLastColumn="0" w:lastRowFirstColumn="0" w:lastRowLastColumn="0"/>
            <w:tcW w:w="1823" w:type="dxa"/>
            <w:vMerge w:val="restart"/>
            <w:shd w:val="clear" w:color="auto" w:fill="auto"/>
            <w:vAlign w:val="center"/>
          </w:tcPr>
          <w:p w14:paraId="3F7C6581" w14:textId="77777777" w:rsidR="00B0733B" w:rsidRPr="00896243" w:rsidRDefault="00B0733B" w:rsidP="00957BCE">
            <w:pPr>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 xml:space="preserve">Complications </w:t>
            </w:r>
          </w:p>
          <w:p w14:paraId="224EDFB5" w14:textId="77777777" w:rsidR="00B0733B" w:rsidRPr="00896243" w:rsidRDefault="00B0733B" w:rsidP="00957BCE">
            <w:pPr>
              <w:rPr>
                <w:rFonts w:ascii="Times New Roman" w:eastAsia="Calibri" w:hAnsi="Times New Roman" w:cs="Times New Roman"/>
                <w:color w:val="000000" w:themeColor="text1"/>
              </w:rPr>
            </w:pPr>
          </w:p>
        </w:tc>
        <w:tc>
          <w:tcPr>
            <w:tcW w:w="2005" w:type="dxa"/>
            <w:shd w:val="clear" w:color="auto" w:fill="auto"/>
          </w:tcPr>
          <w:p w14:paraId="46E8D987" w14:textId="77777777" w:rsidR="00B0733B" w:rsidRPr="00896243" w:rsidRDefault="00B0733B" w:rsidP="00957BC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 xml:space="preserve">No </w:t>
            </w:r>
          </w:p>
        </w:tc>
        <w:tc>
          <w:tcPr>
            <w:tcW w:w="1121" w:type="dxa"/>
            <w:shd w:val="clear" w:color="auto" w:fill="auto"/>
            <w:vAlign w:val="center"/>
          </w:tcPr>
          <w:p w14:paraId="6DEDE16A"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8</w:t>
            </w:r>
          </w:p>
        </w:tc>
        <w:tc>
          <w:tcPr>
            <w:tcW w:w="988" w:type="dxa"/>
            <w:shd w:val="clear" w:color="auto" w:fill="auto"/>
            <w:vAlign w:val="center"/>
          </w:tcPr>
          <w:p w14:paraId="59ED8363"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80.0%</w:t>
            </w:r>
          </w:p>
        </w:tc>
        <w:tc>
          <w:tcPr>
            <w:tcW w:w="904" w:type="dxa"/>
            <w:gridSpan w:val="2"/>
            <w:shd w:val="clear" w:color="auto" w:fill="auto"/>
            <w:vAlign w:val="center"/>
          </w:tcPr>
          <w:p w14:paraId="07D64BC1"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9</w:t>
            </w:r>
          </w:p>
        </w:tc>
        <w:tc>
          <w:tcPr>
            <w:tcW w:w="1239" w:type="dxa"/>
            <w:shd w:val="clear" w:color="auto" w:fill="auto"/>
            <w:vAlign w:val="center"/>
          </w:tcPr>
          <w:p w14:paraId="4324D5F9"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90.0%</w:t>
            </w:r>
          </w:p>
        </w:tc>
        <w:tc>
          <w:tcPr>
            <w:tcW w:w="1418" w:type="dxa"/>
            <w:vMerge w:val="restart"/>
            <w:shd w:val="clear" w:color="auto" w:fill="auto"/>
            <w:vAlign w:val="center"/>
          </w:tcPr>
          <w:p w14:paraId="77318766"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0.217</w:t>
            </w:r>
            <w:r w:rsidRPr="00896243">
              <w:rPr>
                <w:rFonts w:ascii="Times New Roman" w:eastAsia="Calibri" w:hAnsi="Times New Roman" w:cs="Times New Roman"/>
                <w:color w:val="000000" w:themeColor="text1"/>
                <w:vertAlign w:val="superscript"/>
              </w:rPr>
              <w:t xml:space="preserve"> ‡</w:t>
            </w:r>
          </w:p>
        </w:tc>
      </w:tr>
      <w:tr w:rsidR="00B0733B" w:rsidRPr="00896243" w14:paraId="6DA49030" w14:textId="77777777" w:rsidTr="00957BC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23" w:type="dxa"/>
            <w:vMerge/>
            <w:shd w:val="clear" w:color="auto" w:fill="auto"/>
            <w:vAlign w:val="center"/>
          </w:tcPr>
          <w:p w14:paraId="02F88563" w14:textId="77777777" w:rsidR="00B0733B" w:rsidRPr="00896243" w:rsidRDefault="00B0733B" w:rsidP="00957BCE">
            <w:pPr>
              <w:rPr>
                <w:rFonts w:ascii="Times New Roman" w:eastAsia="Calibri" w:hAnsi="Times New Roman" w:cs="Times New Roman"/>
                <w:color w:val="000000" w:themeColor="text1"/>
              </w:rPr>
            </w:pPr>
          </w:p>
        </w:tc>
        <w:tc>
          <w:tcPr>
            <w:tcW w:w="2005" w:type="dxa"/>
            <w:shd w:val="clear" w:color="auto" w:fill="auto"/>
          </w:tcPr>
          <w:p w14:paraId="1321C949" w14:textId="77777777" w:rsidR="00B0733B" w:rsidRPr="00896243" w:rsidRDefault="00B0733B" w:rsidP="00957BC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 xml:space="preserve">Pin tract infection </w:t>
            </w:r>
          </w:p>
        </w:tc>
        <w:tc>
          <w:tcPr>
            <w:tcW w:w="1121" w:type="dxa"/>
            <w:shd w:val="clear" w:color="auto" w:fill="auto"/>
            <w:vAlign w:val="center"/>
          </w:tcPr>
          <w:p w14:paraId="1233B058"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2</w:t>
            </w:r>
          </w:p>
        </w:tc>
        <w:tc>
          <w:tcPr>
            <w:tcW w:w="988" w:type="dxa"/>
            <w:shd w:val="clear" w:color="auto" w:fill="auto"/>
            <w:vAlign w:val="center"/>
          </w:tcPr>
          <w:p w14:paraId="6400DAA3"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20.0%</w:t>
            </w:r>
          </w:p>
        </w:tc>
        <w:tc>
          <w:tcPr>
            <w:tcW w:w="904" w:type="dxa"/>
            <w:gridSpan w:val="2"/>
            <w:shd w:val="clear" w:color="auto" w:fill="auto"/>
            <w:vAlign w:val="center"/>
          </w:tcPr>
          <w:p w14:paraId="0FD081AD"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0</w:t>
            </w:r>
          </w:p>
        </w:tc>
        <w:tc>
          <w:tcPr>
            <w:tcW w:w="1239" w:type="dxa"/>
            <w:shd w:val="clear" w:color="auto" w:fill="auto"/>
            <w:vAlign w:val="center"/>
          </w:tcPr>
          <w:p w14:paraId="4D0B70E3"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0.0%</w:t>
            </w:r>
          </w:p>
        </w:tc>
        <w:tc>
          <w:tcPr>
            <w:tcW w:w="1418" w:type="dxa"/>
            <w:vMerge/>
            <w:shd w:val="clear" w:color="auto" w:fill="auto"/>
            <w:vAlign w:val="center"/>
          </w:tcPr>
          <w:p w14:paraId="4AF6804B"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p>
        </w:tc>
      </w:tr>
      <w:tr w:rsidR="00B0733B" w:rsidRPr="00896243" w14:paraId="3803431C" w14:textId="77777777" w:rsidTr="00957BCE">
        <w:trPr>
          <w:trHeight w:val="337"/>
          <w:jc w:val="center"/>
        </w:trPr>
        <w:tc>
          <w:tcPr>
            <w:cnfStyle w:val="001000000000" w:firstRow="0" w:lastRow="0" w:firstColumn="1" w:lastColumn="0" w:oddVBand="0" w:evenVBand="0" w:oddHBand="0" w:evenHBand="0" w:firstRowFirstColumn="0" w:firstRowLastColumn="0" w:lastRowFirstColumn="0" w:lastRowLastColumn="0"/>
            <w:tcW w:w="1823" w:type="dxa"/>
            <w:vMerge/>
            <w:shd w:val="clear" w:color="auto" w:fill="auto"/>
            <w:vAlign w:val="center"/>
          </w:tcPr>
          <w:p w14:paraId="5D3C8490" w14:textId="77777777" w:rsidR="00B0733B" w:rsidRPr="00896243" w:rsidRDefault="00B0733B" w:rsidP="00957BCE">
            <w:pPr>
              <w:rPr>
                <w:rFonts w:ascii="Times New Roman" w:eastAsia="Calibri" w:hAnsi="Times New Roman" w:cs="Times New Roman"/>
                <w:color w:val="000000" w:themeColor="text1"/>
              </w:rPr>
            </w:pPr>
          </w:p>
        </w:tc>
        <w:tc>
          <w:tcPr>
            <w:tcW w:w="2005" w:type="dxa"/>
            <w:shd w:val="clear" w:color="auto" w:fill="auto"/>
          </w:tcPr>
          <w:p w14:paraId="75B65D5A" w14:textId="77777777" w:rsidR="00B0733B" w:rsidRPr="00896243" w:rsidRDefault="00B0733B" w:rsidP="00957BC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Plate break and revision</w:t>
            </w:r>
          </w:p>
        </w:tc>
        <w:tc>
          <w:tcPr>
            <w:tcW w:w="1121" w:type="dxa"/>
            <w:shd w:val="clear" w:color="auto" w:fill="auto"/>
            <w:vAlign w:val="center"/>
          </w:tcPr>
          <w:p w14:paraId="70284C1D"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0</w:t>
            </w:r>
          </w:p>
        </w:tc>
        <w:tc>
          <w:tcPr>
            <w:tcW w:w="988" w:type="dxa"/>
            <w:shd w:val="clear" w:color="auto" w:fill="auto"/>
            <w:vAlign w:val="center"/>
          </w:tcPr>
          <w:p w14:paraId="54FCEFA4"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0.0%</w:t>
            </w:r>
          </w:p>
        </w:tc>
        <w:tc>
          <w:tcPr>
            <w:tcW w:w="904" w:type="dxa"/>
            <w:gridSpan w:val="2"/>
            <w:shd w:val="clear" w:color="auto" w:fill="auto"/>
            <w:vAlign w:val="center"/>
          </w:tcPr>
          <w:p w14:paraId="06825134"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1</w:t>
            </w:r>
          </w:p>
        </w:tc>
        <w:tc>
          <w:tcPr>
            <w:tcW w:w="1239" w:type="dxa"/>
            <w:shd w:val="clear" w:color="auto" w:fill="auto"/>
            <w:vAlign w:val="center"/>
          </w:tcPr>
          <w:p w14:paraId="5071FD93"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10.0%</w:t>
            </w:r>
          </w:p>
        </w:tc>
        <w:tc>
          <w:tcPr>
            <w:tcW w:w="1418" w:type="dxa"/>
            <w:vMerge/>
            <w:shd w:val="clear" w:color="auto" w:fill="auto"/>
            <w:vAlign w:val="center"/>
          </w:tcPr>
          <w:p w14:paraId="4019C765"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p>
        </w:tc>
      </w:tr>
      <w:tr w:rsidR="00B0733B" w:rsidRPr="00896243" w14:paraId="277E232F" w14:textId="77777777" w:rsidTr="00957B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3" w:type="dxa"/>
            <w:shd w:val="clear" w:color="auto" w:fill="auto"/>
            <w:vAlign w:val="center"/>
          </w:tcPr>
          <w:p w14:paraId="703265B5" w14:textId="77777777" w:rsidR="00B0733B" w:rsidRPr="00896243" w:rsidRDefault="00B0733B" w:rsidP="00957BCE">
            <w:pPr>
              <w:jc w:val="center"/>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HE angle (Pre.)</w:t>
            </w:r>
          </w:p>
        </w:tc>
        <w:tc>
          <w:tcPr>
            <w:tcW w:w="2005" w:type="dxa"/>
            <w:shd w:val="clear" w:color="auto" w:fill="auto"/>
            <w:vAlign w:val="center"/>
          </w:tcPr>
          <w:p w14:paraId="5874B71B" w14:textId="77777777" w:rsidR="00B0733B" w:rsidRPr="00896243" w:rsidRDefault="00B0733B" w:rsidP="00957BC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mean± SD</w:t>
            </w:r>
          </w:p>
          <w:p w14:paraId="10A16572" w14:textId="77777777" w:rsidR="00B0733B" w:rsidRPr="00896243" w:rsidRDefault="00B0733B" w:rsidP="00957BC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 xml:space="preserve">median </w:t>
            </w:r>
          </w:p>
          <w:p w14:paraId="1ABD89B4" w14:textId="77777777" w:rsidR="00B0733B" w:rsidRPr="00896243" w:rsidRDefault="00B0733B" w:rsidP="00957BC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 xml:space="preserve">Range </w:t>
            </w:r>
          </w:p>
        </w:tc>
        <w:tc>
          <w:tcPr>
            <w:tcW w:w="2126" w:type="dxa"/>
            <w:gridSpan w:val="3"/>
            <w:shd w:val="clear" w:color="auto" w:fill="auto"/>
            <w:vAlign w:val="center"/>
          </w:tcPr>
          <w:p w14:paraId="74587636"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64.30± 5.31</w:t>
            </w:r>
          </w:p>
          <w:p w14:paraId="00BBDBD3"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62.5</w:t>
            </w:r>
          </w:p>
          <w:p w14:paraId="41ECD7D6"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60.0- 75.0</w:t>
            </w:r>
          </w:p>
        </w:tc>
        <w:tc>
          <w:tcPr>
            <w:tcW w:w="2126" w:type="dxa"/>
            <w:gridSpan w:val="2"/>
            <w:shd w:val="clear" w:color="auto" w:fill="auto"/>
            <w:vAlign w:val="center"/>
          </w:tcPr>
          <w:p w14:paraId="362110B3"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63.5± 5.13</w:t>
            </w:r>
          </w:p>
          <w:p w14:paraId="2D8A6DCF"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65.0</w:t>
            </w:r>
          </w:p>
          <w:p w14:paraId="32A35C51"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60.0- 70.0</w:t>
            </w:r>
          </w:p>
        </w:tc>
        <w:tc>
          <w:tcPr>
            <w:tcW w:w="1418" w:type="dxa"/>
            <w:shd w:val="clear" w:color="auto" w:fill="auto"/>
            <w:vAlign w:val="center"/>
          </w:tcPr>
          <w:p w14:paraId="40195928"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0.912</w:t>
            </w:r>
            <w:r w:rsidRPr="00896243">
              <w:rPr>
                <w:rFonts w:ascii="Times New Roman" w:eastAsia="Calibri" w:hAnsi="Times New Roman" w:cs="Times New Roman"/>
                <w:color w:val="000000" w:themeColor="text1"/>
                <w:vertAlign w:val="superscript"/>
              </w:rPr>
              <w:t>╪</w:t>
            </w:r>
          </w:p>
        </w:tc>
      </w:tr>
      <w:tr w:rsidR="00B0733B" w:rsidRPr="00896243" w14:paraId="50A8C03E" w14:textId="77777777" w:rsidTr="00957BCE">
        <w:trPr>
          <w:jc w:val="center"/>
        </w:trPr>
        <w:tc>
          <w:tcPr>
            <w:cnfStyle w:val="001000000000" w:firstRow="0" w:lastRow="0" w:firstColumn="1" w:lastColumn="0" w:oddVBand="0" w:evenVBand="0" w:oddHBand="0" w:evenHBand="0" w:firstRowFirstColumn="0" w:firstRowLastColumn="0" w:lastRowFirstColumn="0" w:lastRowLastColumn="0"/>
            <w:tcW w:w="1823" w:type="dxa"/>
            <w:shd w:val="clear" w:color="auto" w:fill="auto"/>
            <w:vAlign w:val="center"/>
          </w:tcPr>
          <w:p w14:paraId="2D1878C6" w14:textId="77777777" w:rsidR="00B0733B" w:rsidRPr="00896243" w:rsidRDefault="00B0733B" w:rsidP="00957BCE">
            <w:pPr>
              <w:jc w:val="center"/>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HE angle (Post.)</w:t>
            </w:r>
          </w:p>
        </w:tc>
        <w:tc>
          <w:tcPr>
            <w:tcW w:w="2005" w:type="dxa"/>
            <w:shd w:val="clear" w:color="auto" w:fill="auto"/>
            <w:vAlign w:val="center"/>
          </w:tcPr>
          <w:p w14:paraId="1EDE0E56" w14:textId="77777777" w:rsidR="00B0733B" w:rsidRPr="00896243" w:rsidRDefault="00B0733B" w:rsidP="00957BC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mean± SD</w:t>
            </w:r>
          </w:p>
          <w:p w14:paraId="47D8BAE1" w14:textId="77777777" w:rsidR="00B0733B" w:rsidRPr="00896243" w:rsidRDefault="00B0733B" w:rsidP="00957BC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 xml:space="preserve">median </w:t>
            </w:r>
          </w:p>
          <w:p w14:paraId="60862812" w14:textId="77777777" w:rsidR="00B0733B" w:rsidRPr="00896243" w:rsidRDefault="00B0733B" w:rsidP="00957BC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 xml:space="preserve">Range </w:t>
            </w:r>
          </w:p>
        </w:tc>
        <w:tc>
          <w:tcPr>
            <w:tcW w:w="2126" w:type="dxa"/>
            <w:gridSpan w:val="3"/>
            <w:shd w:val="clear" w:color="auto" w:fill="auto"/>
            <w:vAlign w:val="center"/>
          </w:tcPr>
          <w:p w14:paraId="15BC2EAE"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29.70± 3.16</w:t>
            </w:r>
          </w:p>
          <w:p w14:paraId="6F579184"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32.0</w:t>
            </w:r>
          </w:p>
          <w:p w14:paraId="0D7659A9"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28.0- 40.0</w:t>
            </w:r>
          </w:p>
        </w:tc>
        <w:tc>
          <w:tcPr>
            <w:tcW w:w="2126" w:type="dxa"/>
            <w:gridSpan w:val="2"/>
            <w:shd w:val="clear" w:color="auto" w:fill="auto"/>
            <w:vAlign w:val="center"/>
          </w:tcPr>
          <w:p w14:paraId="105A60AB"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32.90± 3.45</w:t>
            </w:r>
          </w:p>
          <w:p w14:paraId="763B4367"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32.0</w:t>
            </w:r>
          </w:p>
          <w:p w14:paraId="5A95CAF7"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30.0- 40.0</w:t>
            </w:r>
          </w:p>
        </w:tc>
        <w:tc>
          <w:tcPr>
            <w:tcW w:w="1418" w:type="dxa"/>
            <w:shd w:val="clear" w:color="auto" w:fill="auto"/>
            <w:vAlign w:val="center"/>
          </w:tcPr>
          <w:p w14:paraId="3F984C02"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b/>
                <w:bCs/>
                <w:color w:val="000000" w:themeColor="text1"/>
              </w:rPr>
              <w:t>0.044</w:t>
            </w:r>
            <w:r w:rsidRPr="00896243">
              <w:rPr>
                <w:rFonts w:ascii="Times New Roman" w:eastAsia="Calibri" w:hAnsi="Times New Roman" w:cs="Times New Roman"/>
                <w:color w:val="000000" w:themeColor="text1"/>
              </w:rPr>
              <w:t>*</w:t>
            </w:r>
            <w:r w:rsidRPr="00896243">
              <w:rPr>
                <w:rFonts w:ascii="Times New Roman" w:eastAsia="Calibri" w:hAnsi="Times New Roman" w:cs="Times New Roman"/>
                <w:color w:val="000000" w:themeColor="text1"/>
                <w:vertAlign w:val="superscript"/>
              </w:rPr>
              <w:t>╪</w:t>
            </w:r>
          </w:p>
        </w:tc>
      </w:tr>
      <w:tr w:rsidR="00B0733B" w:rsidRPr="00896243" w14:paraId="6ACE3405" w14:textId="77777777" w:rsidTr="00957B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3" w:type="dxa"/>
            <w:shd w:val="clear" w:color="auto" w:fill="auto"/>
            <w:vAlign w:val="center"/>
          </w:tcPr>
          <w:p w14:paraId="74E3EA5B" w14:textId="77777777" w:rsidR="00B0733B" w:rsidRPr="00896243" w:rsidRDefault="00B0733B" w:rsidP="00957BCE">
            <w:pPr>
              <w:jc w:val="center"/>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P-value (Pre/Post)</w:t>
            </w:r>
          </w:p>
        </w:tc>
        <w:tc>
          <w:tcPr>
            <w:tcW w:w="2005" w:type="dxa"/>
            <w:shd w:val="clear" w:color="auto" w:fill="auto"/>
            <w:vAlign w:val="center"/>
          </w:tcPr>
          <w:p w14:paraId="66A28B1C" w14:textId="77777777" w:rsidR="00B0733B" w:rsidRPr="00896243" w:rsidRDefault="00B0733B" w:rsidP="00957BC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p>
        </w:tc>
        <w:tc>
          <w:tcPr>
            <w:tcW w:w="2126" w:type="dxa"/>
            <w:gridSpan w:val="3"/>
            <w:shd w:val="clear" w:color="auto" w:fill="auto"/>
            <w:vAlign w:val="center"/>
          </w:tcPr>
          <w:p w14:paraId="04BF9A4D"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0.005**</w:t>
            </w:r>
          </w:p>
        </w:tc>
        <w:tc>
          <w:tcPr>
            <w:tcW w:w="2126" w:type="dxa"/>
            <w:gridSpan w:val="2"/>
            <w:shd w:val="clear" w:color="auto" w:fill="auto"/>
            <w:vAlign w:val="center"/>
          </w:tcPr>
          <w:p w14:paraId="458F2961"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0.005**</w:t>
            </w:r>
          </w:p>
        </w:tc>
        <w:tc>
          <w:tcPr>
            <w:tcW w:w="1418" w:type="dxa"/>
            <w:shd w:val="clear" w:color="auto" w:fill="auto"/>
            <w:vAlign w:val="center"/>
          </w:tcPr>
          <w:p w14:paraId="20334AED"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p>
        </w:tc>
      </w:tr>
      <w:tr w:rsidR="00B0733B" w:rsidRPr="00896243" w14:paraId="25D65DC7" w14:textId="77777777" w:rsidTr="00957BCE">
        <w:trPr>
          <w:jc w:val="center"/>
        </w:trPr>
        <w:tc>
          <w:tcPr>
            <w:cnfStyle w:val="001000000000" w:firstRow="0" w:lastRow="0" w:firstColumn="1" w:lastColumn="0" w:oddVBand="0" w:evenVBand="0" w:oddHBand="0" w:evenHBand="0" w:firstRowFirstColumn="0" w:firstRowLastColumn="0" w:lastRowFirstColumn="0" w:lastRowLastColumn="0"/>
            <w:tcW w:w="1823" w:type="dxa"/>
            <w:shd w:val="clear" w:color="auto" w:fill="auto"/>
            <w:vAlign w:val="center"/>
          </w:tcPr>
          <w:p w14:paraId="03AEA06D" w14:textId="77777777" w:rsidR="00B0733B" w:rsidRPr="00896243" w:rsidRDefault="00B0733B" w:rsidP="00957BCE">
            <w:pPr>
              <w:jc w:val="center"/>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Operative time (min.)</w:t>
            </w:r>
          </w:p>
        </w:tc>
        <w:tc>
          <w:tcPr>
            <w:tcW w:w="2005" w:type="dxa"/>
            <w:shd w:val="clear" w:color="auto" w:fill="auto"/>
            <w:vAlign w:val="center"/>
          </w:tcPr>
          <w:p w14:paraId="5D4D2BC5" w14:textId="77777777" w:rsidR="00B0733B" w:rsidRPr="00896243" w:rsidRDefault="00B0733B" w:rsidP="00957BC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mean± SD</w:t>
            </w:r>
          </w:p>
          <w:p w14:paraId="74950AEA" w14:textId="77777777" w:rsidR="00B0733B" w:rsidRPr="00896243" w:rsidRDefault="00B0733B" w:rsidP="00957BC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 xml:space="preserve">median </w:t>
            </w:r>
          </w:p>
          <w:p w14:paraId="14D0B7DC" w14:textId="77777777" w:rsidR="00B0733B" w:rsidRPr="00896243" w:rsidRDefault="00B0733B" w:rsidP="00957BC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 xml:space="preserve">Range </w:t>
            </w:r>
          </w:p>
        </w:tc>
        <w:tc>
          <w:tcPr>
            <w:tcW w:w="2126" w:type="dxa"/>
            <w:gridSpan w:val="3"/>
            <w:shd w:val="clear" w:color="auto" w:fill="auto"/>
            <w:vAlign w:val="center"/>
          </w:tcPr>
          <w:p w14:paraId="262A2859"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22.0± 3.50</w:t>
            </w:r>
          </w:p>
          <w:p w14:paraId="3A5AA55D"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20.0</w:t>
            </w:r>
          </w:p>
          <w:p w14:paraId="4286C21E"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20.0- 30.0</w:t>
            </w:r>
          </w:p>
        </w:tc>
        <w:tc>
          <w:tcPr>
            <w:tcW w:w="2126" w:type="dxa"/>
            <w:gridSpan w:val="2"/>
            <w:shd w:val="clear" w:color="auto" w:fill="auto"/>
            <w:vAlign w:val="center"/>
          </w:tcPr>
          <w:p w14:paraId="46D1D0DD"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41.0± 5.68</w:t>
            </w:r>
          </w:p>
          <w:p w14:paraId="7A469190"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40.0</w:t>
            </w:r>
          </w:p>
          <w:p w14:paraId="004B3502"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30.0- 50.0</w:t>
            </w:r>
          </w:p>
        </w:tc>
        <w:tc>
          <w:tcPr>
            <w:tcW w:w="1418" w:type="dxa"/>
            <w:shd w:val="clear" w:color="auto" w:fill="auto"/>
            <w:vAlign w:val="center"/>
          </w:tcPr>
          <w:p w14:paraId="603D2C39" w14:textId="77777777" w:rsidR="00B0733B" w:rsidRPr="00896243" w:rsidRDefault="00B0733B" w:rsidP="00957B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&lt;0.001</w:t>
            </w:r>
            <w:r w:rsidRPr="00896243">
              <w:rPr>
                <w:rFonts w:ascii="Times New Roman" w:eastAsia="Calibri" w:hAnsi="Times New Roman" w:cs="Times New Roman"/>
                <w:color w:val="000000" w:themeColor="text1"/>
                <w:vertAlign w:val="superscript"/>
              </w:rPr>
              <w:t>╪</w:t>
            </w:r>
            <w:r w:rsidRPr="00896243">
              <w:rPr>
                <w:rFonts w:ascii="Times New Roman" w:eastAsia="Calibri" w:hAnsi="Times New Roman" w:cs="Times New Roman"/>
                <w:b/>
                <w:bCs/>
                <w:color w:val="000000" w:themeColor="text1"/>
              </w:rPr>
              <w:t>**</w:t>
            </w:r>
          </w:p>
        </w:tc>
      </w:tr>
      <w:tr w:rsidR="00B0733B" w:rsidRPr="00896243" w14:paraId="297EDFFB" w14:textId="77777777" w:rsidTr="00957B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3" w:type="dxa"/>
            <w:shd w:val="clear" w:color="auto" w:fill="auto"/>
            <w:vAlign w:val="center"/>
          </w:tcPr>
          <w:p w14:paraId="2BD85FB4" w14:textId="77777777" w:rsidR="00B0733B" w:rsidRPr="00896243" w:rsidRDefault="00B0733B" w:rsidP="00957BCE">
            <w:pPr>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Blood loss (ml)</w:t>
            </w:r>
          </w:p>
        </w:tc>
        <w:tc>
          <w:tcPr>
            <w:tcW w:w="2005" w:type="dxa"/>
            <w:shd w:val="clear" w:color="auto" w:fill="auto"/>
            <w:vAlign w:val="center"/>
          </w:tcPr>
          <w:p w14:paraId="26DC5003" w14:textId="77777777" w:rsidR="00B0733B" w:rsidRPr="00896243" w:rsidRDefault="00B0733B" w:rsidP="00957BC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mean± SD</w:t>
            </w:r>
          </w:p>
          <w:p w14:paraId="6CF651D6" w14:textId="77777777" w:rsidR="00B0733B" w:rsidRPr="00896243" w:rsidRDefault="00B0733B" w:rsidP="00957BC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 xml:space="preserve">median </w:t>
            </w:r>
          </w:p>
          <w:p w14:paraId="40AE7B46" w14:textId="77777777" w:rsidR="00B0733B" w:rsidRPr="00896243" w:rsidRDefault="00B0733B" w:rsidP="00957BC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 xml:space="preserve">Range </w:t>
            </w:r>
          </w:p>
        </w:tc>
        <w:tc>
          <w:tcPr>
            <w:tcW w:w="2126" w:type="dxa"/>
            <w:gridSpan w:val="3"/>
            <w:shd w:val="clear" w:color="auto" w:fill="auto"/>
            <w:vAlign w:val="center"/>
          </w:tcPr>
          <w:p w14:paraId="00BC0214"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37.0± 8.23</w:t>
            </w:r>
          </w:p>
          <w:p w14:paraId="47A85DFB"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35.0</w:t>
            </w:r>
          </w:p>
          <w:p w14:paraId="212A402D"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30.0- 50.0</w:t>
            </w:r>
          </w:p>
        </w:tc>
        <w:tc>
          <w:tcPr>
            <w:tcW w:w="2126" w:type="dxa"/>
            <w:gridSpan w:val="2"/>
            <w:shd w:val="clear" w:color="auto" w:fill="auto"/>
            <w:vAlign w:val="center"/>
          </w:tcPr>
          <w:p w14:paraId="6CECC30E"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127.0± 9.49</w:t>
            </w:r>
          </w:p>
          <w:p w14:paraId="5203DF94"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120.0</w:t>
            </w:r>
          </w:p>
          <w:p w14:paraId="79A51564"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896243">
              <w:rPr>
                <w:rFonts w:ascii="Times New Roman" w:eastAsia="Calibri" w:hAnsi="Times New Roman" w:cs="Times New Roman"/>
                <w:color w:val="000000" w:themeColor="text1"/>
              </w:rPr>
              <w:t>120.0- 140.0</w:t>
            </w:r>
          </w:p>
        </w:tc>
        <w:tc>
          <w:tcPr>
            <w:tcW w:w="1418" w:type="dxa"/>
            <w:shd w:val="clear" w:color="auto" w:fill="auto"/>
            <w:vAlign w:val="center"/>
          </w:tcPr>
          <w:p w14:paraId="4D329B5B" w14:textId="77777777" w:rsidR="00B0733B" w:rsidRPr="00896243" w:rsidRDefault="00B0733B" w:rsidP="00957B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rPr>
            </w:pPr>
            <w:r w:rsidRPr="00896243">
              <w:rPr>
                <w:rFonts w:ascii="Times New Roman" w:eastAsia="Calibri" w:hAnsi="Times New Roman" w:cs="Times New Roman"/>
                <w:b/>
                <w:bCs/>
                <w:color w:val="000000" w:themeColor="text1"/>
              </w:rPr>
              <w:t>&lt;0.001</w:t>
            </w:r>
            <w:r w:rsidRPr="00896243">
              <w:rPr>
                <w:rFonts w:ascii="Times New Roman" w:eastAsia="Calibri" w:hAnsi="Times New Roman" w:cs="Times New Roman"/>
                <w:color w:val="000000" w:themeColor="text1"/>
                <w:vertAlign w:val="superscript"/>
              </w:rPr>
              <w:t>╪</w:t>
            </w:r>
            <w:r w:rsidRPr="00896243">
              <w:rPr>
                <w:rFonts w:ascii="Times New Roman" w:eastAsia="Calibri" w:hAnsi="Times New Roman" w:cs="Times New Roman"/>
                <w:b/>
                <w:bCs/>
                <w:color w:val="000000" w:themeColor="text1"/>
              </w:rPr>
              <w:t>**</w:t>
            </w:r>
          </w:p>
        </w:tc>
      </w:tr>
    </w:tbl>
    <w:p w14:paraId="03636592" w14:textId="77777777" w:rsidR="00B0733B" w:rsidRPr="00896243" w:rsidRDefault="00B0733B" w:rsidP="00B0733B">
      <w:pPr>
        <w:spacing w:after="160" w:line="259" w:lineRule="auto"/>
        <w:rPr>
          <w:rFonts w:ascii="Times New Roman" w:eastAsia="Calibri" w:hAnsi="Times New Roman" w:cs="Times New Roman"/>
          <w:color w:val="000000" w:themeColor="text1"/>
          <w:vertAlign w:val="superscript"/>
        </w:rPr>
      </w:pPr>
      <w:r w:rsidRPr="00896243">
        <w:rPr>
          <w:rFonts w:ascii="Times New Roman" w:eastAsia="Calibri" w:hAnsi="Times New Roman" w:cs="Times New Roman"/>
          <w:color w:val="000000" w:themeColor="text1"/>
          <w:vertAlign w:val="superscript"/>
        </w:rPr>
        <w:t xml:space="preserve">╪ Mann- Whitney U test, ‡ Chi-square test </w:t>
      </w:r>
    </w:p>
    <w:p w14:paraId="173C4D29" w14:textId="77777777" w:rsidR="00B0733B" w:rsidRPr="00896243" w:rsidRDefault="00B0733B" w:rsidP="00B0733B">
      <w:pPr>
        <w:spacing w:after="160" w:line="259" w:lineRule="auto"/>
        <w:rPr>
          <w:rFonts w:ascii="Times New Roman" w:eastAsia="Calibri" w:hAnsi="Times New Roman" w:cs="Times New Roman"/>
          <w:b/>
          <w:bCs/>
          <w:i/>
          <w:iCs/>
          <w:color w:val="000000" w:themeColor="text1"/>
          <w:sz w:val="32"/>
          <w:szCs w:val="32"/>
          <w:lang w:val="en-GB"/>
        </w:rPr>
      </w:pPr>
    </w:p>
    <w:p w14:paraId="7F68DD6E"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b/>
          <w:bCs/>
          <w:color w:val="000000" w:themeColor="text1"/>
        </w:rPr>
      </w:pPr>
      <w:r w:rsidRPr="00896243">
        <w:rPr>
          <w:rFonts w:asciiTheme="majorBidi" w:hAnsiTheme="majorBidi" w:cstheme="majorBidi"/>
          <w:b/>
          <w:bCs/>
          <w:color w:val="000000" w:themeColor="text1"/>
        </w:rPr>
        <w:t>Discussion</w:t>
      </w:r>
    </w:p>
    <w:p w14:paraId="7503C65C"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color w:val="000000" w:themeColor="text1"/>
          <w:rtl/>
          <w:lang w:bidi="ar-EG"/>
        </w:rPr>
      </w:pPr>
      <w:r w:rsidRPr="00896243">
        <w:rPr>
          <w:rFonts w:asciiTheme="majorBidi" w:hAnsiTheme="majorBidi" w:cstheme="majorBidi"/>
          <w:color w:val="000000" w:themeColor="text1"/>
        </w:rPr>
        <w:t xml:space="preserve">There are few options for implants that provide stable fixation of the underlying proximal femoral osteotomy, and the variety is much more limited in young children. Moreover, any fixation tool must avoid the proximal femoral growth plate, giving just a little proportion of bone accessible for stable attachment. </w:t>
      </w:r>
      <w:r w:rsidRPr="00896243">
        <w:rPr>
          <w:rFonts w:asciiTheme="majorBidi" w:hAnsiTheme="majorBidi" w:cstheme="majorBidi"/>
          <w:color w:val="000000" w:themeColor="text1"/>
          <w:vertAlign w:val="superscript"/>
        </w:rPr>
        <w:t>9</w:t>
      </w:r>
      <w:r w:rsidRPr="00896243">
        <w:rPr>
          <w:rFonts w:asciiTheme="majorBidi" w:hAnsiTheme="majorBidi" w:cstheme="majorBidi"/>
          <w:color w:val="000000" w:themeColor="text1"/>
        </w:rPr>
        <w:t xml:space="preserve"> Even in patients with well-performed osteotomies, it is reported a recurrence rates ranging from 30% to 70%. </w:t>
      </w:r>
      <w:r w:rsidRPr="00896243">
        <w:rPr>
          <w:rFonts w:asciiTheme="majorBidi" w:hAnsiTheme="majorBidi" w:cstheme="majorBidi"/>
          <w:color w:val="000000" w:themeColor="text1"/>
          <w:vertAlign w:val="superscript"/>
        </w:rPr>
        <w:t>10</w:t>
      </w:r>
      <w:r w:rsidRPr="00896243">
        <w:rPr>
          <w:rFonts w:asciiTheme="majorBidi" w:hAnsiTheme="majorBidi" w:cstheme="majorBidi"/>
          <w:color w:val="000000" w:themeColor="text1"/>
        </w:rPr>
        <w:t xml:space="preserve"> When the HEA was corrected to less than 38°, 95% had no return of varus deformity. Some analysts have suggested that the HEA be overcorrected to the usual (anatomic) value of 22° to prevent recurrences. 11 In contrast, the head-shaft angle was not shown to be a good predictor of suitable adjustment.</w:t>
      </w:r>
      <w:r w:rsidRPr="00896243">
        <w:rPr>
          <w:rFonts w:asciiTheme="majorBidi" w:hAnsiTheme="majorBidi" w:cstheme="majorBidi"/>
          <w:color w:val="000000" w:themeColor="text1"/>
          <w:vertAlign w:val="superscript"/>
        </w:rPr>
        <w:t>11</w:t>
      </w:r>
      <w:r w:rsidRPr="00896243">
        <w:rPr>
          <w:rFonts w:asciiTheme="majorBidi" w:hAnsiTheme="majorBidi" w:cstheme="majorBidi"/>
          <w:color w:val="000000" w:themeColor="text1"/>
        </w:rPr>
        <w:t> The recurrence was mainly due to the loss of correction angle resulting from a weak fixation.</w:t>
      </w:r>
      <w:r w:rsidRPr="00896243">
        <w:rPr>
          <w:rFonts w:asciiTheme="majorBidi" w:hAnsiTheme="majorBidi" w:cstheme="majorBidi"/>
          <w:color w:val="000000" w:themeColor="text1"/>
          <w:vertAlign w:val="superscript"/>
        </w:rPr>
        <w:t>12</w:t>
      </w:r>
    </w:p>
    <w:p w14:paraId="2CDDABF0"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color w:val="000000" w:themeColor="text1"/>
          <w:rtl/>
        </w:rPr>
      </w:pPr>
      <w:r w:rsidRPr="00896243">
        <w:rPr>
          <w:rFonts w:asciiTheme="majorBidi" w:hAnsiTheme="majorBidi" w:cstheme="majorBidi"/>
          <w:color w:val="000000" w:themeColor="text1"/>
        </w:rPr>
        <w:t xml:space="preserve">Fixation tools for hip osteotomy include an angle blade plate, dynamic sliding hip screws, tension band wire, and an external fixator. </w:t>
      </w:r>
      <w:r w:rsidRPr="00896243">
        <w:rPr>
          <w:rFonts w:asciiTheme="majorBidi" w:hAnsiTheme="majorBidi" w:cstheme="majorBidi"/>
          <w:color w:val="000000" w:themeColor="text1"/>
          <w:vertAlign w:val="superscript"/>
        </w:rPr>
        <w:t>13-16</w:t>
      </w:r>
      <w:r w:rsidRPr="00896243">
        <w:rPr>
          <w:rFonts w:asciiTheme="majorBidi" w:hAnsiTheme="majorBidi" w:cstheme="majorBidi"/>
          <w:color w:val="000000" w:themeColor="text1"/>
        </w:rPr>
        <w:t xml:space="preserve"> There is information available on the kind of implant chosen to promote stability at the osteotomy site. Khan et al. </w:t>
      </w:r>
      <w:r w:rsidRPr="00896243">
        <w:rPr>
          <w:rFonts w:asciiTheme="majorBidi" w:hAnsiTheme="majorBidi" w:cstheme="majorBidi"/>
          <w:color w:val="000000" w:themeColor="text1"/>
          <w:vertAlign w:val="superscript"/>
        </w:rPr>
        <w:t>17</w:t>
      </w:r>
      <w:r w:rsidRPr="00896243">
        <w:rPr>
          <w:rFonts w:asciiTheme="majorBidi" w:hAnsiTheme="majorBidi" w:cstheme="majorBidi"/>
          <w:color w:val="000000" w:themeColor="text1"/>
        </w:rPr>
        <w:t xml:space="preserve"> published the outcomes of a proximal femoral valgus osteotomy with a sliding hip screw in treating </w:t>
      </w:r>
      <w:proofErr w:type="spellStart"/>
      <w:r w:rsidRPr="00896243">
        <w:rPr>
          <w:rFonts w:asciiTheme="majorBidi" w:hAnsiTheme="majorBidi" w:cstheme="majorBidi"/>
          <w:color w:val="000000" w:themeColor="text1"/>
        </w:rPr>
        <w:t>coxa</w:t>
      </w:r>
      <w:proofErr w:type="spellEnd"/>
      <w:r w:rsidRPr="00896243">
        <w:rPr>
          <w:rFonts w:asciiTheme="majorBidi" w:hAnsiTheme="majorBidi" w:cstheme="majorBidi"/>
          <w:color w:val="000000" w:themeColor="text1"/>
        </w:rPr>
        <w:t xml:space="preserve"> </w:t>
      </w:r>
      <w:proofErr w:type="spellStart"/>
      <w:r w:rsidRPr="00896243">
        <w:rPr>
          <w:rFonts w:asciiTheme="majorBidi" w:hAnsiTheme="majorBidi" w:cstheme="majorBidi"/>
          <w:color w:val="000000" w:themeColor="text1"/>
        </w:rPr>
        <w:t>vara</w:t>
      </w:r>
      <w:proofErr w:type="spellEnd"/>
      <w:r w:rsidRPr="00896243">
        <w:rPr>
          <w:rFonts w:asciiTheme="majorBidi" w:hAnsiTheme="majorBidi" w:cstheme="majorBidi"/>
          <w:color w:val="000000" w:themeColor="text1"/>
        </w:rPr>
        <w:t xml:space="preserve"> following a nonunion femoral neck fracture. </w:t>
      </w:r>
      <w:proofErr w:type="spellStart"/>
      <w:r w:rsidRPr="00896243">
        <w:rPr>
          <w:rFonts w:asciiTheme="majorBidi" w:hAnsiTheme="majorBidi" w:cstheme="majorBidi"/>
          <w:color w:val="000000" w:themeColor="text1"/>
        </w:rPr>
        <w:t>Fassier</w:t>
      </w:r>
      <w:proofErr w:type="spellEnd"/>
      <w:r w:rsidRPr="00896243">
        <w:rPr>
          <w:rFonts w:asciiTheme="majorBidi" w:hAnsiTheme="majorBidi" w:cstheme="majorBidi"/>
          <w:color w:val="000000" w:themeColor="text1"/>
        </w:rPr>
        <w:t xml:space="preserve"> et al.</w:t>
      </w:r>
      <w:r w:rsidRPr="00896243">
        <w:rPr>
          <w:rFonts w:asciiTheme="majorBidi" w:hAnsiTheme="majorBidi" w:cstheme="majorBidi"/>
          <w:color w:val="000000" w:themeColor="text1"/>
          <w:vertAlign w:val="superscript"/>
        </w:rPr>
        <w:t>18</w:t>
      </w:r>
      <w:r w:rsidRPr="00896243">
        <w:rPr>
          <w:rFonts w:asciiTheme="majorBidi" w:hAnsiTheme="majorBidi" w:cstheme="majorBidi"/>
          <w:color w:val="000000" w:themeColor="text1"/>
        </w:rPr>
        <w:t xml:space="preserve"> employed a combination of </w:t>
      </w:r>
      <w:proofErr w:type="spellStart"/>
      <w:r w:rsidRPr="00896243">
        <w:rPr>
          <w:rFonts w:asciiTheme="majorBidi" w:hAnsiTheme="majorBidi" w:cstheme="majorBidi"/>
          <w:color w:val="000000" w:themeColor="text1"/>
        </w:rPr>
        <w:t>Kirschnerwires</w:t>
      </w:r>
      <w:proofErr w:type="spellEnd"/>
      <w:r w:rsidRPr="00896243">
        <w:rPr>
          <w:rFonts w:asciiTheme="majorBidi" w:hAnsiTheme="majorBidi" w:cstheme="majorBidi"/>
          <w:color w:val="000000" w:themeColor="text1"/>
        </w:rPr>
        <w:t xml:space="preserve"> and a rod to offer fixation strength following </w:t>
      </w:r>
      <w:proofErr w:type="spellStart"/>
      <w:r w:rsidRPr="00896243">
        <w:rPr>
          <w:rFonts w:asciiTheme="majorBidi" w:hAnsiTheme="majorBidi" w:cstheme="majorBidi"/>
          <w:color w:val="000000" w:themeColor="text1"/>
        </w:rPr>
        <w:t>coxa</w:t>
      </w:r>
      <w:proofErr w:type="spellEnd"/>
      <w:r w:rsidRPr="00896243">
        <w:rPr>
          <w:rFonts w:asciiTheme="majorBidi" w:hAnsiTheme="majorBidi" w:cstheme="majorBidi"/>
          <w:color w:val="000000" w:themeColor="text1"/>
        </w:rPr>
        <w:t xml:space="preserve"> </w:t>
      </w:r>
      <w:proofErr w:type="spellStart"/>
      <w:r w:rsidRPr="00896243">
        <w:rPr>
          <w:rFonts w:asciiTheme="majorBidi" w:hAnsiTheme="majorBidi" w:cstheme="majorBidi"/>
          <w:color w:val="000000" w:themeColor="text1"/>
        </w:rPr>
        <w:t>vara</w:t>
      </w:r>
      <w:proofErr w:type="spellEnd"/>
      <w:r w:rsidRPr="00896243">
        <w:rPr>
          <w:rFonts w:asciiTheme="majorBidi" w:hAnsiTheme="majorBidi" w:cstheme="majorBidi"/>
          <w:color w:val="000000" w:themeColor="text1"/>
        </w:rPr>
        <w:t xml:space="preserve"> correction in children with </w:t>
      </w:r>
      <w:proofErr w:type="spellStart"/>
      <w:r w:rsidRPr="00896243">
        <w:rPr>
          <w:rFonts w:asciiTheme="majorBidi" w:hAnsiTheme="majorBidi" w:cstheme="majorBidi"/>
          <w:color w:val="000000" w:themeColor="text1"/>
        </w:rPr>
        <w:t>osteopenic</w:t>
      </w:r>
      <w:proofErr w:type="spellEnd"/>
      <w:r w:rsidRPr="00896243">
        <w:rPr>
          <w:rFonts w:asciiTheme="majorBidi" w:hAnsiTheme="majorBidi" w:cstheme="majorBidi"/>
          <w:color w:val="000000" w:themeColor="text1"/>
        </w:rPr>
        <w:t xml:space="preserve"> bone. This achievement might be achieved by inserting a technically challenging but difficult-to-apply intramedullary nail into a bowed proximal femur.</w:t>
      </w:r>
    </w:p>
    <w:p w14:paraId="4F19DB0C"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color w:val="000000" w:themeColor="text1"/>
        </w:rPr>
      </w:pPr>
      <w:r w:rsidRPr="00896243">
        <w:rPr>
          <w:rFonts w:asciiTheme="majorBidi" w:hAnsiTheme="majorBidi" w:cstheme="majorBidi"/>
          <w:color w:val="000000" w:themeColor="text1"/>
        </w:rPr>
        <w:t xml:space="preserve"> Some studies reported that the most significant predictor of recurrence is the postoperative HE angle. Desai and Johnson observed that in 12 hips, HE angle of 35 degrees after </w:t>
      </w:r>
      <w:proofErr w:type="spellStart"/>
      <w:r w:rsidRPr="00896243">
        <w:rPr>
          <w:rFonts w:asciiTheme="majorBidi" w:hAnsiTheme="majorBidi" w:cstheme="majorBidi"/>
          <w:color w:val="000000" w:themeColor="text1"/>
        </w:rPr>
        <w:t>surger</w:t>
      </w:r>
      <w:proofErr w:type="spellEnd"/>
      <w:r w:rsidRPr="00896243">
        <w:rPr>
          <w:rFonts w:asciiTheme="majorBidi" w:hAnsiTheme="majorBidi" w:cstheme="majorBidi"/>
          <w:color w:val="000000" w:themeColor="text1"/>
        </w:rPr>
        <w:t xml:space="preserve"> provided a good outcomes with no recurrence. </w:t>
      </w:r>
      <w:r w:rsidRPr="00896243">
        <w:rPr>
          <w:rFonts w:asciiTheme="majorBidi" w:hAnsiTheme="majorBidi" w:cstheme="majorBidi"/>
          <w:color w:val="000000" w:themeColor="text1"/>
          <w:vertAlign w:val="superscript"/>
        </w:rPr>
        <w:t>19</w:t>
      </w:r>
      <w:r w:rsidRPr="00896243">
        <w:rPr>
          <w:rFonts w:asciiTheme="majorBidi" w:hAnsiTheme="majorBidi" w:cstheme="majorBidi"/>
          <w:color w:val="000000" w:themeColor="text1"/>
        </w:rPr>
        <w:t xml:space="preserve"> Cordes et al. reported 14 cases in which the HE angle was adjusted to 40 degrees or less, and a great outcome might be predicted. </w:t>
      </w:r>
      <w:r w:rsidRPr="00896243">
        <w:rPr>
          <w:rFonts w:asciiTheme="majorBidi" w:hAnsiTheme="majorBidi" w:cstheme="majorBidi"/>
          <w:color w:val="000000" w:themeColor="text1"/>
          <w:vertAlign w:val="superscript"/>
        </w:rPr>
        <w:t>20</w:t>
      </w:r>
      <w:r w:rsidRPr="00896243">
        <w:rPr>
          <w:rFonts w:asciiTheme="majorBidi" w:hAnsiTheme="majorBidi" w:cstheme="majorBidi"/>
          <w:color w:val="000000" w:themeColor="text1"/>
        </w:rPr>
        <w:t xml:space="preserve"> Carroll et al.</w:t>
      </w:r>
      <w:r w:rsidRPr="00896243">
        <w:rPr>
          <w:rFonts w:asciiTheme="majorBidi" w:hAnsiTheme="majorBidi" w:cstheme="majorBidi"/>
          <w:color w:val="000000" w:themeColor="text1"/>
          <w:vertAlign w:val="superscript"/>
        </w:rPr>
        <w:t>12</w:t>
      </w:r>
      <w:r w:rsidRPr="00896243">
        <w:rPr>
          <w:rFonts w:asciiTheme="majorBidi" w:hAnsiTheme="majorBidi" w:cstheme="majorBidi"/>
          <w:color w:val="000000" w:themeColor="text1"/>
        </w:rPr>
        <w:t xml:space="preserve"> found that when the HE angle was reduced to less than 38 degrees, 95 % had no recurrence of </w:t>
      </w:r>
      <w:proofErr w:type="spellStart"/>
      <w:r w:rsidRPr="00896243">
        <w:rPr>
          <w:rFonts w:asciiTheme="majorBidi" w:hAnsiTheme="majorBidi" w:cstheme="majorBidi"/>
          <w:color w:val="000000" w:themeColor="text1"/>
        </w:rPr>
        <w:t>coxa</w:t>
      </w:r>
      <w:proofErr w:type="spellEnd"/>
      <w:r w:rsidRPr="00896243">
        <w:rPr>
          <w:rFonts w:asciiTheme="majorBidi" w:hAnsiTheme="majorBidi" w:cstheme="majorBidi"/>
          <w:color w:val="000000" w:themeColor="text1"/>
        </w:rPr>
        <w:t xml:space="preserve"> </w:t>
      </w:r>
      <w:proofErr w:type="spellStart"/>
      <w:r w:rsidRPr="00896243">
        <w:rPr>
          <w:rFonts w:asciiTheme="majorBidi" w:hAnsiTheme="majorBidi" w:cstheme="majorBidi"/>
          <w:color w:val="000000" w:themeColor="text1"/>
        </w:rPr>
        <w:t>vara</w:t>
      </w:r>
      <w:proofErr w:type="spellEnd"/>
      <w:r w:rsidRPr="00896243">
        <w:rPr>
          <w:rFonts w:asciiTheme="majorBidi" w:hAnsiTheme="majorBidi" w:cstheme="majorBidi"/>
          <w:color w:val="000000" w:themeColor="text1"/>
        </w:rPr>
        <w:t xml:space="preserve">. Recurrence was unrelated to age of the patient, kind of surgery, type of implant, or </w:t>
      </w:r>
      <w:proofErr w:type="spellStart"/>
      <w:r w:rsidRPr="00896243">
        <w:rPr>
          <w:rFonts w:asciiTheme="majorBidi" w:hAnsiTheme="majorBidi" w:cstheme="majorBidi"/>
          <w:color w:val="000000" w:themeColor="text1"/>
        </w:rPr>
        <w:t>aetiology</w:t>
      </w:r>
      <w:proofErr w:type="spellEnd"/>
      <w:r w:rsidRPr="00896243">
        <w:rPr>
          <w:rFonts w:asciiTheme="majorBidi" w:hAnsiTheme="majorBidi" w:cstheme="majorBidi"/>
          <w:color w:val="000000" w:themeColor="text1"/>
        </w:rPr>
        <w:t>.</w:t>
      </w:r>
    </w:p>
    <w:p w14:paraId="2DF5326D"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color w:val="000000" w:themeColor="text1"/>
        </w:rPr>
      </w:pPr>
      <w:r w:rsidRPr="00896243">
        <w:rPr>
          <w:rFonts w:asciiTheme="majorBidi" w:hAnsiTheme="majorBidi" w:cstheme="majorBidi"/>
          <w:color w:val="000000" w:themeColor="text1"/>
        </w:rPr>
        <w:t xml:space="preserve">In the present study, the authors want to compare between traditional pale versus minimally invasive percutaneous approach for the correction of </w:t>
      </w:r>
      <w:proofErr w:type="spellStart"/>
      <w:r w:rsidRPr="00896243">
        <w:rPr>
          <w:rFonts w:asciiTheme="majorBidi" w:hAnsiTheme="majorBidi" w:cstheme="majorBidi"/>
          <w:color w:val="000000" w:themeColor="text1"/>
        </w:rPr>
        <w:t>coxa</w:t>
      </w:r>
      <w:proofErr w:type="spellEnd"/>
      <w:r w:rsidRPr="00896243">
        <w:rPr>
          <w:rFonts w:asciiTheme="majorBidi" w:hAnsiTheme="majorBidi" w:cstheme="majorBidi"/>
          <w:color w:val="000000" w:themeColor="text1"/>
        </w:rPr>
        <w:t xml:space="preserve"> </w:t>
      </w:r>
      <w:proofErr w:type="spellStart"/>
      <w:r w:rsidRPr="00896243">
        <w:rPr>
          <w:rFonts w:asciiTheme="majorBidi" w:hAnsiTheme="majorBidi" w:cstheme="majorBidi"/>
          <w:color w:val="000000" w:themeColor="text1"/>
        </w:rPr>
        <w:t>vara</w:t>
      </w:r>
      <w:proofErr w:type="spellEnd"/>
      <w:r w:rsidRPr="00896243">
        <w:rPr>
          <w:rFonts w:asciiTheme="majorBidi" w:hAnsiTheme="majorBidi" w:cstheme="majorBidi"/>
          <w:color w:val="000000" w:themeColor="text1"/>
        </w:rPr>
        <w:t xml:space="preserve"> using </w:t>
      </w:r>
      <w:proofErr w:type="spellStart"/>
      <w:r w:rsidRPr="00896243">
        <w:rPr>
          <w:rFonts w:asciiTheme="majorBidi" w:hAnsiTheme="majorBidi" w:cstheme="majorBidi"/>
          <w:color w:val="000000" w:themeColor="text1"/>
        </w:rPr>
        <w:t>monolateral</w:t>
      </w:r>
      <w:proofErr w:type="spellEnd"/>
      <w:r w:rsidRPr="00896243">
        <w:rPr>
          <w:rFonts w:asciiTheme="majorBidi" w:hAnsiTheme="majorBidi" w:cstheme="majorBidi"/>
          <w:color w:val="000000" w:themeColor="text1"/>
        </w:rPr>
        <w:t xml:space="preserve"> external fixation. Several studies concluded that the HE angle should be less than 38°- 40°, otherwise there was a risk of recurrence. The current study was not significantly different from previous studies in that no hips needed to be revised in the external fixator group, while one case in the plate groups had a plate break and revision with an average HE angle of 32.70° and 32.90°, respectively, without significance at the final follow-up. We found that neck-shaft angle, HE angles and ATD improved significantly postoperative in both groups at final follow-up. Also, the authors found that fixator group </w:t>
      </w:r>
      <w:r w:rsidRPr="00896243">
        <w:rPr>
          <w:rFonts w:asciiTheme="majorBidi" w:hAnsiTheme="majorBidi" w:cstheme="majorBidi"/>
          <w:color w:val="000000" w:themeColor="text1"/>
          <w:lang w:bidi="ar-EG"/>
        </w:rPr>
        <w:t>has higher</w:t>
      </w:r>
      <w:r w:rsidRPr="00896243">
        <w:rPr>
          <w:rFonts w:asciiTheme="majorBidi" w:hAnsiTheme="majorBidi" w:cstheme="majorBidi"/>
          <w:color w:val="000000" w:themeColor="text1"/>
        </w:rPr>
        <w:t xml:space="preserve"> significant improvement in </w:t>
      </w:r>
      <w:bookmarkStart w:id="8" w:name="_Hlk100789998"/>
      <w:r w:rsidRPr="00896243">
        <w:rPr>
          <w:rFonts w:asciiTheme="majorBidi" w:hAnsiTheme="majorBidi" w:cstheme="majorBidi"/>
          <w:color w:val="000000" w:themeColor="text1"/>
        </w:rPr>
        <w:t xml:space="preserve">neck-shaft angle, HE angles and ATD </w:t>
      </w:r>
      <w:bookmarkEnd w:id="8"/>
      <w:r w:rsidRPr="00896243">
        <w:rPr>
          <w:rFonts w:asciiTheme="majorBidi" w:hAnsiTheme="majorBidi" w:cstheme="majorBidi"/>
          <w:color w:val="000000" w:themeColor="text1"/>
        </w:rPr>
        <w:t>than plate group. This improvement may be because of the patient's improved functional activity following surgical correction</w:t>
      </w:r>
      <w:r w:rsidRPr="00896243">
        <w:rPr>
          <w:rFonts w:asciiTheme="majorBidi" w:hAnsiTheme="majorBidi" w:cstheme="majorBidi" w:hint="cs"/>
          <w:color w:val="000000" w:themeColor="text1"/>
          <w:rtl/>
        </w:rPr>
        <w:t xml:space="preserve"> </w:t>
      </w:r>
      <w:r w:rsidRPr="00896243">
        <w:rPr>
          <w:rFonts w:asciiTheme="majorBidi" w:hAnsiTheme="majorBidi" w:cstheme="majorBidi"/>
          <w:color w:val="000000" w:themeColor="text1"/>
          <w:vertAlign w:val="superscript"/>
        </w:rPr>
        <w:t>12,19,20</w:t>
      </w:r>
    </w:p>
    <w:p w14:paraId="329C5BFC"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color w:val="000000" w:themeColor="text1"/>
          <w:lang w:bidi="ar-EG"/>
        </w:rPr>
      </w:pPr>
      <w:r>
        <w:rPr>
          <w:rFonts w:asciiTheme="majorBidi" w:hAnsiTheme="majorBidi" w:cstheme="majorBidi" w:hint="cs"/>
          <w:color w:val="000000" w:themeColor="text1"/>
        </w:rPr>
        <w:t xml:space="preserve">This </w:t>
      </w:r>
      <w:r w:rsidRPr="00896243">
        <w:rPr>
          <w:rFonts w:asciiTheme="majorBidi" w:hAnsiTheme="majorBidi" w:cstheme="majorBidi"/>
          <w:color w:val="000000" w:themeColor="text1"/>
        </w:rPr>
        <w:t xml:space="preserve"> study limited by small patient's sample</w:t>
      </w:r>
      <w:r w:rsidRPr="00896243">
        <w:rPr>
          <w:rFonts w:asciiTheme="majorBidi" w:hAnsiTheme="majorBidi" w:cstheme="majorBidi"/>
          <w:color w:val="000000" w:themeColor="text1"/>
          <w:lang w:bidi="ar-EG"/>
        </w:rPr>
        <w:t>. Because measures were taken on both the AP pelvis and the AP lower extremity images, measurement errors might occur due to variances in radiography procedures. However, across the normal range of rotational positions of the proximal femur seen with routine views, measured NSA has been found to stay within an acceptable margin of error.</w:t>
      </w:r>
      <w:r w:rsidRPr="00896243">
        <w:rPr>
          <w:rFonts w:asciiTheme="majorBidi" w:hAnsiTheme="majorBidi" w:cstheme="majorBidi" w:hint="cs"/>
          <w:color w:val="000000" w:themeColor="text1"/>
          <w:vertAlign w:val="superscript"/>
          <w:rtl/>
          <w:lang w:bidi="ar-EG"/>
        </w:rPr>
        <w:t>21</w:t>
      </w:r>
      <w:r w:rsidRPr="00896243">
        <w:rPr>
          <w:rFonts w:asciiTheme="majorBidi" w:hAnsiTheme="majorBidi" w:cstheme="majorBidi"/>
          <w:color w:val="000000" w:themeColor="text1"/>
          <w:lang w:bidi="ar-EG"/>
        </w:rPr>
        <w:cr/>
      </w:r>
    </w:p>
    <w:p w14:paraId="3381AAF7"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b/>
          <w:bCs/>
          <w:color w:val="000000" w:themeColor="text1"/>
          <w:lang w:bidi="ar-EG"/>
        </w:rPr>
      </w:pPr>
      <w:r w:rsidRPr="00896243">
        <w:rPr>
          <w:rFonts w:asciiTheme="majorBidi" w:hAnsiTheme="majorBidi" w:cstheme="majorBidi"/>
          <w:b/>
          <w:bCs/>
          <w:color w:val="000000" w:themeColor="text1"/>
        </w:rPr>
        <w:t>Conclusion</w:t>
      </w:r>
    </w:p>
    <w:p w14:paraId="10888619"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color w:val="000000" w:themeColor="text1"/>
          <w:lang w:bidi="ar-EG"/>
        </w:rPr>
      </w:pPr>
      <w:r w:rsidRPr="00896243">
        <w:rPr>
          <w:rFonts w:asciiTheme="majorBidi" w:hAnsiTheme="majorBidi" w:cstheme="majorBidi"/>
          <w:color w:val="000000" w:themeColor="text1"/>
          <w:lang w:bidi="ar-EG"/>
        </w:rPr>
        <w:t xml:space="preserve">Surgical correction of </w:t>
      </w:r>
      <w:proofErr w:type="spellStart"/>
      <w:r w:rsidRPr="00896243">
        <w:rPr>
          <w:rFonts w:asciiTheme="majorBidi" w:hAnsiTheme="majorBidi" w:cstheme="majorBidi"/>
          <w:color w:val="000000" w:themeColor="text1"/>
          <w:lang w:bidi="ar-EG"/>
        </w:rPr>
        <w:t>coxa</w:t>
      </w:r>
      <w:proofErr w:type="spellEnd"/>
      <w:r w:rsidRPr="00896243">
        <w:rPr>
          <w:rFonts w:asciiTheme="majorBidi" w:hAnsiTheme="majorBidi" w:cstheme="majorBidi"/>
          <w:color w:val="000000" w:themeColor="text1"/>
          <w:lang w:bidi="ar-EG"/>
        </w:rPr>
        <w:t xml:space="preserve"> </w:t>
      </w:r>
      <w:proofErr w:type="spellStart"/>
      <w:r w:rsidRPr="00896243">
        <w:rPr>
          <w:rFonts w:asciiTheme="majorBidi" w:hAnsiTheme="majorBidi" w:cstheme="majorBidi"/>
          <w:color w:val="000000" w:themeColor="text1"/>
          <w:lang w:bidi="ar-EG"/>
        </w:rPr>
        <w:t>vara</w:t>
      </w:r>
      <w:proofErr w:type="spellEnd"/>
      <w:r w:rsidRPr="00896243">
        <w:rPr>
          <w:rFonts w:asciiTheme="majorBidi" w:hAnsiTheme="majorBidi" w:cstheme="majorBidi"/>
          <w:color w:val="000000" w:themeColor="text1"/>
          <w:lang w:bidi="ar-EG"/>
        </w:rPr>
        <w:t xml:space="preserve"> by </w:t>
      </w:r>
      <w:proofErr w:type="spellStart"/>
      <w:r w:rsidRPr="00896243">
        <w:rPr>
          <w:rFonts w:asciiTheme="majorBidi" w:hAnsiTheme="majorBidi" w:cstheme="majorBidi"/>
          <w:color w:val="000000" w:themeColor="text1"/>
          <w:lang w:bidi="ar-EG"/>
        </w:rPr>
        <w:t>monolateral</w:t>
      </w:r>
      <w:proofErr w:type="spellEnd"/>
      <w:r w:rsidRPr="00896243">
        <w:rPr>
          <w:rFonts w:asciiTheme="majorBidi" w:hAnsiTheme="majorBidi" w:cstheme="majorBidi"/>
          <w:color w:val="000000" w:themeColor="text1"/>
          <w:lang w:bidi="ar-EG"/>
        </w:rPr>
        <w:t xml:space="preserve"> external fixation have a higher significant outcome than plate with easily reproducible, effective in deformity correction and no evidence of deformity recurrence. </w:t>
      </w:r>
    </w:p>
    <w:p w14:paraId="608D21AE" w14:textId="77777777" w:rsidR="00B0733B" w:rsidRPr="00896243" w:rsidRDefault="00B0733B" w:rsidP="00B0733B">
      <w:pPr>
        <w:autoSpaceDE w:val="0"/>
        <w:autoSpaceDN w:val="0"/>
        <w:adjustRightInd w:val="0"/>
        <w:spacing w:after="100" w:line="360" w:lineRule="auto"/>
        <w:jc w:val="both"/>
        <w:rPr>
          <w:rFonts w:asciiTheme="majorBidi" w:hAnsiTheme="majorBidi" w:cstheme="majorBidi"/>
          <w:color w:val="000000" w:themeColor="text1"/>
          <w:lang w:bidi="ar-EG"/>
        </w:rPr>
      </w:pPr>
    </w:p>
    <w:p w14:paraId="2151FDAF" w14:textId="77777777" w:rsidR="00B0733B" w:rsidRPr="00DE3B74" w:rsidRDefault="00B0733B" w:rsidP="00B0733B">
      <w:pPr>
        <w:autoSpaceDE w:val="0"/>
        <w:autoSpaceDN w:val="0"/>
        <w:adjustRightInd w:val="0"/>
        <w:spacing w:after="100" w:line="360" w:lineRule="auto"/>
        <w:jc w:val="both"/>
        <w:rPr>
          <w:rFonts w:asciiTheme="majorBidi" w:hAnsiTheme="majorBidi" w:cstheme="majorBidi"/>
          <w:b/>
          <w:bCs/>
          <w:color w:val="000000"/>
          <w:lang w:bidi="ar-EG"/>
        </w:rPr>
      </w:pPr>
      <w:r w:rsidRPr="00DE3B74">
        <w:rPr>
          <w:rFonts w:asciiTheme="majorBidi" w:hAnsiTheme="majorBidi" w:cstheme="majorBidi"/>
          <w:b/>
          <w:bCs/>
          <w:color w:val="000000"/>
          <w:lang w:bidi="ar-EG"/>
        </w:rPr>
        <w:t>References</w:t>
      </w:r>
    </w:p>
    <w:p w14:paraId="617DE482" w14:textId="77777777" w:rsidR="00B0733B" w:rsidRPr="00DE3B74" w:rsidRDefault="00B0733B" w:rsidP="00B0733B">
      <w:pPr>
        <w:numPr>
          <w:ilvl w:val="0"/>
          <w:numId w:val="1"/>
        </w:numPr>
        <w:autoSpaceDE w:val="0"/>
        <w:autoSpaceDN w:val="0"/>
        <w:adjustRightInd w:val="0"/>
        <w:spacing w:after="100" w:line="360" w:lineRule="auto"/>
        <w:jc w:val="both"/>
        <w:rPr>
          <w:rFonts w:asciiTheme="majorBidi" w:hAnsiTheme="majorBidi" w:cstheme="majorBidi"/>
          <w:color w:val="000000"/>
          <w:lang w:bidi="ar-EG"/>
        </w:rPr>
      </w:pPr>
      <w:r w:rsidRPr="00DE3B74">
        <w:rPr>
          <w:rFonts w:asciiTheme="majorBidi" w:hAnsiTheme="majorBidi" w:cstheme="majorBidi"/>
          <w:color w:val="000000"/>
          <w:lang w:bidi="ar-EG"/>
        </w:rPr>
        <w:t xml:space="preserve">Shapiro F. Slipped Capital Femoral Epiphysis: Developmental Coxa Vara. </w:t>
      </w:r>
      <w:proofErr w:type="spellStart"/>
      <w:r w:rsidRPr="00DE3B74">
        <w:rPr>
          <w:rFonts w:asciiTheme="majorBidi" w:hAnsiTheme="majorBidi" w:cstheme="majorBidi"/>
          <w:color w:val="000000"/>
          <w:lang w:bidi="ar-EG"/>
        </w:rPr>
        <w:t>InPediatric</w:t>
      </w:r>
      <w:proofErr w:type="spellEnd"/>
      <w:r w:rsidRPr="00DE3B74">
        <w:rPr>
          <w:rFonts w:asciiTheme="majorBidi" w:hAnsiTheme="majorBidi" w:cstheme="majorBidi"/>
          <w:color w:val="000000"/>
          <w:lang w:bidi="ar-EG"/>
        </w:rPr>
        <w:t xml:space="preserve"> Orthopedic Deformities, Volume 2 2019 (pp. 323-434). Springer, Cham.</w:t>
      </w:r>
    </w:p>
    <w:p w14:paraId="35B44970" w14:textId="77777777" w:rsidR="00B0733B" w:rsidRPr="00DE3B74" w:rsidRDefault="00B0733B" w:rsidP="00B0733B">
      <w:pPr>
        <w:numPr>
          <w:ilvl w:val="0"/>
          <w:numId w:val="1"/>
        </w:numPr>
        <w:autoSpaceDE w:val="0"/>
        <w:autoSpaceDN w:val="0"/>
        <w:adjustRightInd w:val="0"/>
        <w:spacing w:after="100" w:line="360" w:lineRule="auto"/>
        <w:jc w:val="both"/>
        <w:rPr>
          <w:rFonts w:asciiTheme="majorBidi" w:hAnsiTheme="majorBidi" w:cstheme="majorBidi"/>
          <w:color w:val="000000"/>
          <w:lang w:bidi="ar-EG"/>
        </w:rPr>
      </w:pPr>
      <w:proofErr w:type="spellStart"/>
      <w:r w:rsidRPr="00DE3B74">
        <w:rPr>
          <w:rFonts w:asciiTheme="majorBidi" w:hAnsiTheme="majorBidi" w:cstheme="majorBidi"/>
          <w:color w:val="000000"/>
          <w:lang w:bidi="ar-EG"/>
        </w:rPr>
        <w:t>Hefney</w:t>
      </w:r>
      <w:proofErr w:type="spellEnd"/>
      <w:r w:rsidRPr="00DE3B74">
        <w:rPr>
          <w:rFonts w:asciiTheme="majorBidi" w:hAnsiTheme="majorBidi" w:cstheme="majorBidi"/>
          <w:color w:val="000000"/>
          <w:lang w:bidi="ar-EG"/>
        </w:rPr>
        <w:t xml:space="preserve"> HM, </w:t>
      </w:r>
      <w:proofErr w:type="spellStart"/>
      <w:r w:rsidRPr="00DE3B74">
        <w:rPr>
          <w:rFonts w:asciiTheme="majorBidi" w:hAnsiTheme="majorBidi" w:cstheme="majorBidi"/>
          <w:color w:val="000000"/>
          <w:lang w:bidi="ar-EG"/>
        </w:rPr>
        <w:t>Elmoatasem</w:t>
      </w:r>
      <w:proofErr w:type="spellEnd"/>
      <w:r w:rsidRPr="00DE3B74">
        <w:rPr>
          <w:rFonts w:asciiTheme="majorBidi" w:hAnsiTheme="majorBidi" w:cstheme="majorBidi"/>
          <w:color w:val="000000"/>
          <w:lang w:bidi="ar-EG"/>
        </w:rPr>
        <w:t xml:space="preserve"> EM, Nassar WA. Treatment of </w:t>
      </w:r>
      <w:proofErr w:type="spellStart"/>
      <w:r w:rsidRPr="00DE3B74">
        <w:rPr>
          <w:rFonts w:asciiTheme="majorBidi" w:hAnsiTheme="majorBidi" w:cstheme="majorBidi"/>
          <w:color w:val="000000"/>
          <w:lang w:bidi="ar-EG"/>
        </w:rPr>
        <w:t>coxa</w:t>
      </w:r>
      <w:proofErr w:type="spellEnd"/>
      <w:r w:rsidRPr="00DE3B74">
        <w:rPr>
          <w:rFonts w:asciiTheme="majorBidi" w:hAnsiTheme="majorBidi" w:cstheme="majorBidi"/>
          <w:color w:val="000000"/>
          <w:lang w:bidi="ar-EG"/>
        </w:rPr>
        <w:t xml:space="preserve"> </w:t>
      </w:r>
      <w:proofErr w:type="spellStart"/>
      <w:r w:rsidRPr="00DE3B74">
        <w:rPr>
          <w:rFonts w:asciiTheme="majorBidi" w:hAnsiTheme="majorBidi" w:cstheme="majorBidi"/>
          <w:color w:val="000000"/>
          <w:lang w:bidi="ar-EG"/>
        </w:rPr>
        <w:t>vara</w:t>
      </w:r>
      <w:proofErr w:type="spellEnd"/>
      <w:r w:rsidRPr="00DE3B74">
        <w:rPr>
          <w:rFonts w:asciiTheme="majorBidi" w:hAnsiTheme="majorBidi" w:cstheme="majorBidi"/>
          <w:color w:val="000000"/>
          <w:lang w:bidi="ar-EG"/>
        </w:rPr>
        <w:t xml:space="preserve"> utilizing an external fixator. The Egyptian </w:t>
      </w:r>
      <w:proofErr w:type="spellStart"/>
      <w:r w:rsidRPr="00DE3B74">
        <w:rPr>
          <w:rFonts w:asciiTheme="majorBidi" w:hAnsiTheme="majorBidi" w:cstheme="majorBidi"/>
          <w:color w:val="000000"/>
          <w:lang w:bidi="ar-EG"/>
        </w:rPr>
        <w:t>Orthopaedic</w:t>
      </w:r>
      <w:proofErr w:type="spellEnd"/>
      <w:r w:rsidRPr="00DE3B74">
        <w:rPr>
          <w:rFonts w:asciiTheme="majorBidi" w:hAnsiTheme="majorBidi" w:cstheme="majorBidi"/>
          <w:color w:val="000000"/>
          <w:lang w:bidi="ar-EG"/>
        </w:rPr>
        <w:t xml:space="preserve"> Journal. 2015 Jan 1;50(1):68.</w:t>
      </w:r>
    </w:p>
    <w:p w14:paraId="60720AFA" w14:textId="77777777" w:rsidR="00B0733B" w:rsidRPr="00DE3B74" w:rsidRDefault="00B0733B" w:rsidP="00B0733B">
      <w:pPr>
        <w:numPr>
          <w:ilvl w:val="0"/>
          <w:numId w:val="1"/>
        </w:numPr>
        <w:autoSpaceDE w:val="0"/>
        <w:autoSpaceDN w:val="0"/>
        <w:adjustRightInd w:val="0"/>
        <w:spacing w:after="100" w:line="360" w:lineRule="auto"/>
        <w:jc w:val="both"/>
        <w:rPr>
          <w:rFonts w:asciiTheme="majorBidi" w:hAnsiTheme="majorBidi" w:cstheme="majorBidi"/>
          <w:color w:val="000000"/>
          <w:lang w:bidi="ar-EG"/>
        </w:rPr>
      </w:pPr>
      <w:r w:rsidRPr="00DE3B74">
        <w:rPr>
          <w:rFonts w:asciiTheme="majorBidi" w:hAnsiTheme="majorBidi" w:cstheme="majorBidi"/>
          <w:color w:val="000000"/>
          <w:lang w:bidi="ar-EG"/>
        </w:rPr>
        <w:t xml:space="preserve">Galal S. Percutaneous multiplanar subtrochanteric osteotomy with external fixation for developmental </w:t>
      </w:r>
      <w:proofErr w:type="spellStart"/>
      <w:r w:rsidRPr="00DE3B74">
        <w:rPr>
          <w:rFonts w:asciiTheme="majorBidi" w:hAnsiTheme="majorBidi" w:cstheme="majorBidi"/>
          <w:color w:val="000000"/>
          <w:lang w:bidi="ar-EG"/>
        </w:rPr>
        <w:t>coxa</w:t>
      </w:r>
      <w:proofErr w:type="spellEnd"/>
      <w:r w:rsidRPr="00DE3B74">
        <w:rPr>
          <w:rFonts w:asciiTheme="majorBidi" w:hAnsiTheme="majorBidi" w:cstheme="majorBidi"/>
          <w:color w:val="000000"/>
          <w:lang w:bidi="ar-EG"/>
        </w:rPr>
        <w:t xml:space="preserve"> </w:t>
      </w:r>
      <w:proofErr w:type="spellStart"/>
      <w:r w:rsidRPr="00DE3B74">
        <w:rPr>
          <w:rFonts w:asciiTheme="majorBidi" w:hAnsiTheme="majorBidi" w:cstheme="majorBidi"/>
          <w:color w:val="000000"/>
          <w:lang w:bidi="ar-EG"/>
        </w:rPr>
        <w:t>vara</w:t>
      </w:r>
      <w:proofErr w:type="spellEnd"/>
      <w:r w:rsidRPr="00DE3B74">
        <w:rPr>
          <w:rFonts w:asciiTheme="majorBidi" w:hAnsiTheme="majorBidi" w:cstheme="majorBidi"/>
          <w:color w:val="000000"/>
          <w:lang w:bidi="ar-EG"/>
        </w:rPr>
        <w:t xml:space="preserve"> (preliminary results). Journal of Pediatric </w:t>
      </w:r>
      <w:proofErr w:type="spellStart"/>
      <w:r w:rsidRPr="00DE3B74">
        <w:rPr>
          <w:rFonts w:asciiTheme="majorBidi" w:hAnsiTheme="majorBidi" w:cstheme="majorBidi"/>
          <w:color w:val="000000"/>
          <w:lang w:bidi="ar-EG"/>
        </w:rPr>
        <w:t>Orthopaedics</w:t>
      </w:r>
      <w:proofErr w:type="spellEnd"/>
      <w:r w:rsidRPr="00DE3B74">
        <w:rPr>
          <w:rFonts w:asciiTheme="majorBidi" w:hAnsiTheme="majorBidi" w:cstheme="majorBidi"/>
          <w:color w:val="000000"/>
          <w:lang w:bidi="ar-EG"/>
        </w:rPr>
        <w:t xml:space="preserve"> B. 2017 Jul 1;26(4):320-8.</w:t>
      </w:r>
    </w:p>
    <w:p w14:paraId="121C08FE" w14:textId="77777777" w:rsidR="00B0733B" w:rsidRPr="00DE3B74" w:rsidRDefault="00B0733B" w:rsidP="00B0733B">
      <w:pPr>
        <w:numPr>
          <w:ilvl w:val="0"/>
          <w:numId w:val="1"/>
        </w:numPr>
        <w:autoSpaceDE w:val="0"/>
        <w:autoSpaceDN w:val="0"/>
        <w:adjustRightInd w:val="0"/>
        <w:spacing w:after="100" w:line="360" w:lineRule="auto"/>
        <w:jc w:val="both"/>
        <w:rPr>
          <w:rFonts w:asciiTheme="majorBidi" w:hAnsiTheme="majorBidi" w:cstheme="majorBidi"/>
          <w:color w:val="000000"/>
          <w:lang w:bidi="ar-EG"/>
        </w:rPr>
      </w:pPr>
      <w:proofErr w:type="spellStart"/>
      <w:r w:rsidRPr="00DE3B74">
        <w:rPr>
          <w:rFonts w:asciiTheme="majorBidi" w:hAnsiTheme="majorBidi" w:cstheme="majorBidi"/>
          <w:color w:val="000000"/>
          <w:lang w:bidi="ar-EG"/>
        </w:rPr>
        <w:t>Srisaarn</w:t>
      </w:r>
      <w:proofErr w:type="spellEnd"/>
      <w:r w:rsidRPr="00DE3B74">
        <w:rPr>
          <w:rFonts w:asciiTheme="majorBidi" w:hAnsiTheme="majorBidi" w:cstheme="majorBidi"/>
          <w:color w:val="000000"/>
          <w:lang w:bidi="ar-EG"/>
        </w:rPr>
        <w:t xml:space="preserve"> T, </w:t>
      </w:r>
      <w:proofErr w:type="spellStart"/>
      <w:r w:rsidRPr="00DE3B74">
        <w:rPr>
          <w:rFonts w:asciiTheme="majorBidi" w:hAnsiTheme="majorBidi" w:cstheme="majorBidi"/>
          <w:color w:val="000000"/>
          <w:lang w:bidi="ar-EG"/>
        </w:rPr>
        <w:t>Salang</w:t>
      </w:r>
      <w:proofErr w:type="spellEnd"/>
      <w:r w:rsidRPr="00DE3B74">
        <w:rPr>
          <w:rFonts w:asciiTheme="majorBidi" w:hAnsiTheme="majorBidi" w:cstheme="majorBidi"/>
          <w:color w:val="000000"/>
          <w:lang w:bidi="ar-EG"/>
        </w:rPr>
        <w:t xml:space="preserve"> K, </w:t>
      </w:r>
      <w:proofErr w:type="spellStart"/>
      <w:r w:rsidRPr="00DE3B74">
        <w:rPr>
          <w:rFonts w:asciiTheme="majorBidi" w:hAnsiTheme="majorBidi" w:cstheme="majorBidi"/>
          <w:color w:val="000000"/>
          <w:lang w:bidi="ar-EG"/>
        </w:rPr>
        <w:t>Klawson</w:t>
      </w:r>
      <w:proofErr w:type="spellEnd"/>
      <w:r w:rsidRPr="00DE3B74">
        <w:rPr>
          <w:rFonts w:asciiTheme="majorBidi" w:hAnsiTheme="majorBidi" w:cstheme="majorBidi"/>
          <w:color w:val="000000"/>
          <w:lang w:bidi="ar-EG"/>
        </w:rPr>
        <w:t xml:space="preserve"> B, </w:t>
      </w:r>
      <w:proofErr w:type="spellStart"/>
      <w:r w:rsidRPr="00DE3B74">
        <w:rPr>
          <w:rFonts w:asciiTheme="majorBidi" w:hAnsiTheme="majorBidi" w:cstheme="majorBidi"/>
          <w:color w:val="000000"/>
          <w:lang w:bidi="ar-EG"/>
        </w:rPr>
        <w:t>Vipulakorn</w:t>
      </w:r>
      <w:proofErr w:type="spellEnd"/>
      <w:r w:rsidRPr="00DE3B74">
        <w:rPr>
          <w:rFonts w:asciiTheme="majorBidi" w:hAnsiTheme="majorBidi" w:cstheme="majorBidi"/>
          <w:color w:val="000000"/>
          <w:lang w:bidi="ar-EG"/>
        </w:rPr>
        <w:t xml:space="preserve"> K, </w:t>
      </w:r>
      <w:proofErr w:type="spellStart"/>
      <w:r w:rsidRPr="00DE3B74">
        <w:rPr>
          <w:rFonts w:asciiTheme="majorBidi" w:hAnsiTheme="majorBidi" w:cstheme="majorBidi"/>
          <w:color w:val="000000"/>
          <w:lang w:bidi="ar-EG"/>
        </w:rPr>
        <w:t>Chalayon</w:t>
      </w:r>
      <w:proofErr w:type="spellEnd"/>
      <w:r w:rsidRPr="00DE3B74">
        <w:rPr>
          <w:rFonts w:asciiTheme="majorBidi" w:hAnsiTheme="majorBidi" w:cstheme="majorBidi"/>
          <w:color w:val="000000"/>
          <w:lang w:bidi="ar-EG"/>
        </w:rPr>
        <w:t xml:space="preserve"> O, </w:t>
      </w:r>
      <w:proofErr w:type="spellStart"/>
      <w:r w:rsidRPr="00DE3B74">
        <w:rPr>
          <w:rFonts w:asciiTheme="majorBidi" w:hAnsiTheme="majorBidi" w:cstheme="majorBidi"/>
          <w:color w:val="000000"/>
          <w:lang w:bidi="ar-EG"/>
        </w:rPr>
        <w:t>Eamsobhana</w:t>
      </w:r>
      <w:proofErr w:type="spellEnd"/>
      <w:r w:rsidRPr="00DE3B74">
        <w:rPr>
          <w:rFonts w:asciiTheme="majorBidi" w:hAnsiTheme="majorBidi" w:cstheme="majorBidi"/>
          <w:color w:val="000000"/>
          <w:lang w:bidi="ar-EG"/>
        </w:rPr>
        <w:t xml:space="preserve"> P. Surgical correction of </w:t>
      </w:r>
      <w:proofErr w:type="spellStart"/>
      <w:r w:rsidRPr="00DE3B74">
        <w:rPr>
          <w:rFonts w:asciiTheme="majorBidi" w:hAnsiTheme="majorBidi" w:cstheme="majorBidi"/>
          <w:color w:val="000000"/>
          <w:lang w:bidi="ar-EG"/>
        </w:rPr>
        <w:t>coxa</w:t>
      </w:r>
      <w:proofErr w:type="spellEnd"/>
      <w:r w:rsidRPr="00DE3B74">
        <w:rPr>
          <w:rFonts w:asciiTheme="majorBidi" w:hAnsiTheme="majorBidi" w:cstheme="majorBidi"/>
          <w:color w:val="000000"/>
          <w:lang w:bidi="ar-EG"/>
        </w:rPr>
        <w:t xml:space="preserve"> </w:t>
      </w:r>
      <w:proofErr w:type="spellStart"/>
      <w:r w:rsidRPr="00DE3B74">
        <w:rPr>
          <w:rFonts w:asciiTheme="majorBidi" w:hAnsiTheme="majorBidi" w:cstheme="majorBidi"/>
          <w:color w:val="000000"/>
          <w:lang w:bidi="ar-EG"/>
        </w:rPr>
        <w:t>vara</w:t>
      </w:r>
      <w:proofErr w:type="spellEnd"/>
      <w:r w:rsidRPr="00DE3B74">
        <w:rPr>
          <w:rFonts w:asciiTheme="majorBidi" w:hAnsiTheme="majorBidi" w:cstheme="majorBidi"/>
          <w:color w:val="000000"/>
          <w:lang w:bidi="ar-EG"/>
        </w:rPr>
        <w:t xml:space="preserve">: evaluation of neck shaft angle, </w:t>
      </w:r>
      <w:proofErr w:type="spellStart"/>
      <w:r w:rsidRPr="00DE3B74">
        <w:rPr>
          <w:rFonts w:asciiTheme="majorBidi" w:hAnsiTheme="majorBidi" w:cstheme="majorBidi"/>
          <w:color w:val="000000"/>
          <w:lang w:bidi="ar-EG"/>
        </w:rPr>
        <w:t>Hilgenreiner</w:t>
      </w:r>
      <w:proofErr w:type="spellEnd"/>
      <w:r w:rsidRPr="00DE3B74">
        <w:rPr>
          <w:rFonts w:asciiTheme="majorBidi" w:hAnsiTheme="majorBidi" w:cstheme="majorBidi"/>
          <w:color w:val="000000"/>
          <w:lang w:bidi="ar-EG"/>
        </w:rPr>
        <w:t xml:space="preserve">-epiphyseal angle for indication of recurrence. Journal of Clinical </w:t>
      </w:r>
      <w:proofErr w:type="spellStart"/>
      <w:r w:rsidRPr="00DE3B74">
        <w:rPr>
          <w:rFonts w:asciiTheme="majorBidi" w:hAnsiTheme="majorBidi" w:cstheme="majorBidi"/>
          <w:color w:val="000000"/>
          <w:lang w:bidi="ar-EG"/>
        </w:rPr>
        <w:t>Orthopaedics</w:t>
      </w:r>
      <w:proofErr w:type="spellEnd"/>
      <w:r w:rsidRPr="00DE3B74">
        <w:rPr>
          <w:rFonts w:asciiTheme="majorBidi" w:hAnsiTheme="majorBidi" w:cstheme="majorBidi"/>
          <w:color w:val="000000"/>
          <w:lang w:bidi="ar-EG"/>
        </w:rPr>
        <w:t xml:space="preserve"> and Trauma. 2019 May 1;10(3):593-8.</w:t>
      </w:r>
    </w:p>
    <w:p w14:paraId="5891A887" w14:textId="77777777" w:rsidR="00B0733B" w:rsidRPr="00DE3B74" w:rsidRDefault="00B0733B" w:rsidP="00B0733B">
      <w:pPr>
        <w:numPr>
          <w:ilvl w:val="0"/>
          <w:numId w:val="1"/>
        </w:numPr>
        <w:autoSpaceDE w:val="0"/>
        <w:autoSpaceDN w:val="0"/>
        <w:adjustRightInd w:val="0"/>
        <w:spacing w:after="100" w:line="360" w:lineRule="auto"/>
        <w:jc w:val="both"/>
        <w:rPr>
          <w:rFonts w:asciiTheme="majorBidi" w:hAnsiTheme="majorBidi" w:cstheme="majorBidi"/>
          <w:color w:val="000000"/>
          <w:lang w:bidi="ar-EG"/>
        </w:rPr>
      </w:pPr>
      <w:proofErr w:type="spellStart"/>
      <w:r w:rsidRPr="00DE3B74">
        <w:rPr>
          <w:rFonts w:asciiTheme="majorBidi" w:hAnsiTheme="majorBidi" w:cstheme="majorBidi"/>
          <w:color w:val="000000"/>
          <w:lang w:bidi="ar-EG"/>
        </w:rPr>
        <w:t>Bian</w:t>
      </w:r>
      <w:proofErr w:type="spellEnd"/>
      <w:r w:rsidRPr="00DE3B74">
        <w:rPr>
          <w:rFonts w:asciiTheme="majorBidi" w:hAnsiTheme="majorBidi" w:cstheme="majorBidi"/>
          <w:color w:val="000000"/>
          <w:lang w:bidi="ar-EG"/>
        </w:rPr>
        <w:t xml:space="preserve"> Z, Xu YJ, Guo Y, Fu G, </w:t>
      </w:r>
      <w:proofErr w:type="spellStart"/>
      <w:r w:rsidRPr="00DE3B74">
        <w:rPr>
          <w:rFonts w:asciiTheme="majorBidi" w:hAnsiTheme="majorBidi" w:cstheme="majorBidi"/>
          <w:color w:val="000000"/>
          <w:lang w:bidi="ar-EG"/>
        </w:rPr>
        <w:t>Lyu</w:t>
      </w:r>
      <w:proofErr w:type="spellEnd"/>
      <w:r w:rsidRPr="00DE3B74">
        <w:rPr>
          <w:rFonts w:asciiTheme="majorBidi" w:hAnsiTheme="majorBidi" w:cstheme="majorBidi"/>
          <w:color w:val="000000"/>
          <w:lang w:bidi="ar-EG"/>
        </w:rPr>
        <w:t xml:space="preserve"> XM, Wang QQ. Analyzing risk factors for recurrence of developmental </w:t>
      </w:r>
      <w:proofErr w:type="spellStart"/>
      <w:r w:rsidRPr="00DE3B74">
        <w:rPr>
          <w:rFonts w:asciiTheme="majorBidi" w:hAnsiTheme="majorBidi" w:cstheme="majorBidi"/>
          <w:color w:val="000000"/>
          <w:lang w:bidi="ar-EG"/>
        </w:rPr>
        <w:t>coxa</w:t>
      </w:r>
      <w:proofErr w:type="spellEnd"/>
      <w:r w:rsidRPr="00DE3B74">
        <w:rPr>
          <w:rFonts w:asciiTheme="majorBidi" w:hAnsiTheme="majorBidi" w:cstheme="majorBidi"/>
          <w:color w:val="000000"/>
          <w:lang w:bidi="ar-EG"/>
        </w:rPr>
        <w:t xml:space="preserve"> </w:t>
      </w:r>
      <w:proofErr w:type="spellStart"/>
      <w:r w:rsidRPr="00DE3B74">
        <w:rPr>
          <w:rFonts w:asciiTheme="majorBidi" w:hAnsiTheme="majorBidi" w:cstheme="majorBidi"/>
          <w:color w:val="000000"/>
          <w:lang w:bidi="ar-EG"/>
        </w:rPr>
        <w:t>vara</w:t>
      </w:r>
      <w:proofErr w:type="spellEnd"/>
      <w:r w:rsidRPr="00DE3B74">
        <w:rPr>
          <w:rFonts w:asciiTheme="majorBidi" w:hAnsiTheme="majorBidi" w:cstheme="majorBidi"/>
          <w:color w:val="000000"/>
          <w:lang w:bidi="ar-EG"/>
        </w:rPr>
        <w:t xml:space="preserve"> after surgery. Journal of Children's </w:t>
      </w:r>
      <w:proofErr w:type="spellStart"/>
      <w:r w:rsidRPr="00DE3B74">
        <w:rPr>
          <w:rFonts w:asciiTheme="majorBidi" w:hAnsiTheme="majorBidi" w:cstheme="majorBidi"/>
          <w:color w:val="000000"/>
          <w:lang w:bidi="ar-EG"/>
        </w:rPr>
        <w:t>Orthopaedics</w:t>
      </w:r>
      <w:proofErr w:type="spellEnd"/>
      <w:r w:rsidRPr="00DE3B74">
        <w:rPr>
          <w:rFonts w:asciiTheme="majorBidi" w:hAnsiTheme="majorBidi" w:cstheme="majorBidi"/>
          <w:color w:val="000000"/>
          <w:lang w:bidi="ar-EG"/>
        </w:rPr>
        <w:t>. 2019 Aug;13(4):361-70.</w:t>
      </w:r>
    </w:p>
    <w:p w14:paraId="66FB1BFB" w14:textId="77777777" w:rsidR="00B0733B" w:rsidRPr="00DE3B74" w:rsidRDefault="00B0733B" w:rsidP="00B0733B">
      <w:pPr>
        <w:numPr>
          <w:ilvl w:val="0"/>
          <w:numId w:val="1"/>
        </w:numPr>
        <w:autoSpaceDE w:val="0"/>
        <w:autoSpaceDN w:val="0"/>
        <w:adjustRightInd w:val="0"/>
        <w:spacing w:after="100" w:line="360" w:lineRule="auto"/>
        <w:jc w:val="both"/>
        <w:rPr>
          <w:rFonts w:asciiTheme="majorBidi" w:hAnsiTheme="majorBidi" w:cstheme="majorBidi"/>
          <w:color w:val="000000"/>
          <w:lang w:bidi="ar-EG"/>
        </w:rPr>
      </w:pPr>
      <w:r w:rsidRPr="00DE3B74">
        <w:rPr>
          <w:rFonts w:asciiTheme="majorBidi" w:hAnsiTheme="majorBidi" w:cstheme="majorBidi"/>
          <w:color w:val="000000"/>
          <w:lang w:bidi="ar-EG"/>
        </w:rPr>
        <w:t xml:space="preserve">Ansari AH, Gupta AK, </w:t>
      </w:r>
      <w:proofErr w:type="spellStart"/>
      <w:r w:rsidRPr="00DE3B74">
        <w:rPr>
          <w:rFonts w:asciiTheme="majorBidi" w:hAnsiTheme="majorBidi" w:cstheme="majorBidi"/>
          <w:color w:val="000000"/>
          <w:lang w:bidi="ar-EG"/>
        </w:rPr>
        <w:t>Vaish</w:t>
      </w:r>
      <w:proofErr w:type="spellEnd"/>
      <w:r w:rsidRPr="00DE3B74">
        <w:rPr>
          <w:rFonts w:asciiTheme="majorBidi" w:hAnsiTheme="majorBidi" w:cstheme="majorBidi"/>
          <w:color w:val="000000"/>
          <w:lang w:bidi="ar-EG"/>
        </w:rPr>
        <w:t xml:space="preserve"> A, </w:t>
      </w:r>
      <w:proofErr w:type="spellStart"/>
      <w:r w:rsidRPr="00DE3B74">
        <w:rPr>
          <w:rFonts w:asciiTheme="majorBidi" w:hAnsiTheme="majorBidi" w:cstheme="majorBidi"/>
          <w:color w:val="000000"/>
          <w:lang w:bidi="ar-EG"/>
        </w:rPr>
        <w:t>Vaishya</w:t>
      </w:r>
      <w:proofErr w:type="spellEnd"/>
      <w:r w:rsidRPr="00DE3B74">
        <w:rPr>
          <w:rFonts w:asciiTheme="majorBidi" w:hAnsiTheme="majorBidi" w:cstheme="majorBidi"/>
          <w:color w:val="000000"/>
          <w:lang w:bidi="ar-EG"/>
        </w:rPr>
        <w:t xml:space="preserve"> R. Single-stage surgical correction of a bilateral acquired </w:t>
      </w:r>
      <w:proofErr w:type="spellStart"/>
      <w:r w:rsidRPr="00DE3B74">
        <w:rPr>
          <w:rFonts w:asciiTheme="majorBidi" w:hAnsiTheme="majorBidi" w:cstheme="majorBidi"/>
          <w:color w:val="000000"/>
          <w:lang w:bidi="ar-EG"/>
        </w:rPr>
        <w:t>coxa</w:t>
      </w:r>
      <w:proofErr w:type="spellEnd"/>
      <w:r w:rsidRPr="00DE3B74">
        <w:rPr>
          <w:rFonts w:asciiTheme="majorBidi" w:hAnsiTheme="majorBidi" w:cstheme="majorBidi"/>
          <w:color w:val="000000"/>
          <w:lang w:bidi="ar-EG"/>
        </w:rPr>
        <w:t xml:space="preserve"> </w:t>
      </w:r>
      <w:proofErr w:type="spellStart"/>
      <w:r w:rsidRPr="00DE3B74">
        <w:rPr>
          <w:rFonts w:asciiTheme="majorBidi" w:hAnsiTheme="majorBidi" w:cstheme="majorBidi"/>
          <w:color w:val="000000"/>
          <w:lang w:bidi="ar-EG"/>
        </w:rPr>
        <w:t>vara</w:t>
      </w:r>
      <w:proofErr w:type="spellEnd"/>
      <w:r w:rsidRPr="00DE3B74">
        <w:rPr>
          <w:rFonts w:asciiTheme="majorBidi" w:hAnsiTheme="majorBidi" w:cstheme="majorBidi"/>
          <w:color w:val="000000"/>
          <w:lang w:bidi="ar-EG"/>
        </w:rPr>
        <w:t xml:space="preserve"> deformity in a young woman. BMJ Case Reports CP. 2021 Oct 1;14(10):e245754.</w:t>
      </w:r>
    </w:p>
    <w:p w14:paraId="4A6D5D53" w14:textId="77777777" w:rsidR="00B0733B" w:rsidRPr="00DE3B74" w:rsidRDefault="00B0733B" w:rsidP="00B0733B">
      <w:pPr>
        <w:numPr>
          <w:ilvl w:val="0"/>
          <w:numId w:val="1"/>
        </w:numPr>
        <w:autoSpaceDE w:val="0"/>
        <w:autoSpaceDN w:val="0"/>
        <w:adjustRightInd w:val="0"/>
        <w:spacing w:after="100" w:line="360" w:lineRule="auto"/>
        <w:jc w:val="both"/>
        <w:rPr>
          <w:rFonts w:asciiTheme="majorBidi" w:hAnsiTheme="majorBidi" w:cstheme="majorBidi"/>
          <w:color w:val="000000"/>
          <w:lang w:bidi="ar-EG"/>
        </w:rPr>
      </w:pPr>
      <w:r w:rsidRPr="00DE3B74">
        <w:rPr>
          <w:rFonts w:asciiTheme="majorBidi" w:hAnsiTheme="majorBidi" w:cstheme="majorBidi"/>
          <w:color w:val="000000"/>
          <w:lang w:bidi="ar-EG"/>
        </w:rPr>
        <w:t xml:space="preserve">Herring JA. </w:t>
      </w:r>
      <w:proofErr w:type="spellStart"/>
      <w:r w:rsidRPr="00DE3B74">
        <w:rPr>
          <w:rFonts w:asciiTheme="majorBidi" w:hAnsiTheme="majorBidi" w:cstheme="majorBidi"/>
          <w:color w:val="000000"/>
          <w:lang w:bidi="ar-EG"/>
        </w:rPr>
        <w:t>Tachdjian’s</w:t>
      </w:r>
      <w:proofErr w:type="spellEnd"/>
      <w:r w:rsidRPr="00DE3B74">
        <w:rPr>
          <w:rFonts w:asciiTheme="majorBidi" w:hAnsiTheme="majorBidi" w:cstheme="majorBidi"/>
          <w:color w:val="000000"/>
          <w:lang w:bidi="ar-EG"/>
        </w:rPr>
        <w:t xml:space="preserve"> pediatric </w:t>
      </w:r>
      <w:proofErr w:type="spellStart"/>
      <w:r w:rsidRPr="00DE3B74">
        <w:rPr>
          <w:rFonts w:asciiTheme="majorBidi" w:hAnsiTheme="majorBidi" w:cstheme="majorBidi"/>
          <w:color w:val="000000"/>
          <w:lang w:bidi="ar-EG"/>
        </w:rPr>
        <w:t>orthopaedics</w:t>
      </w:r>
      <w:proofErr w:type="spellEnd"/>
      <w:r w:rsidRPr="00DE3B74">
        <w:rPr>
          <w:rFonts w:asciiTheme="majorBidi" w:hAnsiTheme="majorBidi" w:cstheme="majorBidi"/>
          <w:color w:val="000000"/>
          <w:lang w:bidi="ar-EG"/>
        </w:rPr>
        <w:t xml:space="preserve">: from the Texas Scottish Rite Hospital for children. 3rd ed. Philadelphia, PA: W.B. Saunders Company; 2002. 193-5. </w:t>
      </w:r>
    </w:p>
    <w:p w14:paraId="60A21DA1" w14:textId="77777777" w:rsidR="00B0733B" w:rsidRPr="00DE3B74" w:rsidRDefault="00B0733B" w:rsidP="00B0733B">
      <w:pPr>
        <w:numPr>
          <w:ilvl w:val="0"/>
          <w:numId w:val="1"/>
        </w:numPr>
        <w:autoSpaceDE w:val="0"/>
        <w:autoSpaceDN w:val="0"/>
        <w:adjustRightInd w:val="0"/>
        <w:spacing w:after="100" w:line="360" w:lineRule="auto"/>
        <w:jc w:val="both"/>
        <w:rPr>
          <w:rFonts w:asciiTheme="majorBidi" w:hAnsiTheme="majorBidi" w:cstheme="majorBidi"/>
          <w:color w:val="000000"/>
          <w:lang w:bidi="ar-EG"/>
        </w:rPr>
      </w:pPr>
      <w:proofErr w:type="spellStart"/>
      <w:r w:rsidRPr="00DE3B74">
        <w:rPr>
          <w:rFonts w:asciiTheme="majorBidi" w:hAnsiTheme="majorBidi" w:cstheme="majorBidi"/>
          <w:color w:val="000000"/>
          <w:lang w:bidi="ar-EG"/>
        </w:rPr>
        <w:t>Hefny</w:t>
      </w:r>
      <w:proofErr w:type="spellEnd"/>
      <w:r w:rsidRPr="00DE3B74">
        <w:rPr>
          <w:rFonts w:asciiTheme="majorBidi" w:hAnsiTheme="majorBidi" w:cstheme="majorBidi"/>
          <w:color w:val="000000"/>
          <w:lang w:bidi="ar-EG"/>
        </w:rPr>
        <w:t xml:space="preserve"> H, </w:t>
      </w:r>
      <w:proofErr w:type="spellStart"/>
      <w:r w:rsidRPr="00DE3B74">
        <w:rPr>
          <w:rFonts w:asciiTheme="majorBidi" w:hAnsiTheme="majorBidi" w:cstheme="majorBidi"/>
          <w:color w:val="000000"/>
          <w:lang w:bidi="ar-EG"/>
        </w:rPr>
        <w:t>Elmoatasem</w:t>
      </w:r>
      <w:proofErr w:type="spellEnd"/>
      <w:r w:rsidRPr="00DE3B74">
        <w:rPr>
          <w:rFonts w:asciiTheme="majorBidi" w:hAnsiTheme="majorBidi" w:cstheme="majorBidi"/>
          <w:color w:val="000000"/>
          <w:lang w:bidi="ar-EG"/>
        </w:rPr>
        <w:t xml:space="preserve"> EM, Nassar W. Valgus osteotomy by external fixation for treatment for developmental </w:t>
      </w:r>
      <w:proofErr w:type="spellStart"/>
      <w:r w:rsidRPr="00DE3B74">
        <w:rPr>
          <w:rFonts w:asciiTheme="majorBidi" w:hAnsiTheme="majorBidi" w:cstheme="majorBidi"/>
          <w:color w:val="000000"/>
          <w:lang w:bidi="ar-EG"/>
        </w:rPr>
        <w:t>coxa</w:t>
      </w:r>
      <w:proofErr w:type="spellEnd"/>
      <w:r w:rsidRPr="00DE3B74">
        <w:rPr>
          <w:rFonts w:asciiTheme="majorBidi" w:hAnsiTheme="majorBidi" w:cstheme="majorBidi"/>
          <w:color w:val="000000"/>
          <w:lang w:bidi="ar-EG"/>
        </w:rPr>
        <w:t xml:space="preserve"> </w:t>
      </w:r>
      <w:proofErr w:type="spellStart"/>
      <w:r w:rsidRPr="00DE3B74">
        <w:rPr>
          <w:rFonts w:asciiTheme="majorBidi" w:hAnsiTheme="majorBidi" w:cstheme="majorBidi"/>
          <w:color w:val="000000"/>
          <w:lang w:bidi="ar-EG"/>
        </w:rPr>
        <w:t>vara</w:t>
      </w:r>
      <w:proofErr w:type="spellEnd"/>
      <w:r w:rsidRPr="00DE3B74">
        <w:rPr>
          <w:rFonts w:asciiTheme="majorBidi" w:hAnsiTheme="majorBidi" w:cstheme="majorBidi"/>
          <w:color w:val="000000"/>
          <w:lang w:bidi="ar-EG"/>
        </w:rPr>
        <w:t xml:space="preserve">. Strategies Trauma Limb </w:t>
      </w:r>
      <w:proofErr w:type="spellStart"/>
      <w:r w:rsidRPr="00DE3B74">
        <w:rPr>
          <w:rFonts w:asciiTheme="majorBidi" w:hAnsiTheme="majorBidi" w:cstheme="majorBidi"/>
          <w:color w:val="000000"/>
          <w:lang w:bidi="ar-EG"/>
        </w:rPr>
        <w:t>Reconstr</w:t>
      </w:r>
      <w:proofErr w:type="spellEnd"/>
      <w:r w:rsidRPr="00DE3B74">
        <w:rPr>
          <w:rFonts w:asciiTheme="majorBidi" w:hAnsiTheme="majorBidi" w:cstheme="majorBidi"/>
          <w:color w:val="000000"/>
          <w:lang w:bidi="ar-EG"/>
        </w:rPr>
        <w:t xml:space="preserve">. 2013;8(3):161-7. </w:t>
      </w:r>
    </w:p>
    <w:p w14:paraId="46579995" w14:textId="77777777" w:rsidR="00B0733B" w:rsidRPr="00DE3B74" w:rsidRDefault="00B0733B" w:rsidP="00B0733B">
      <w:pPr>
        <w:numPr>
          <w:ilvl w:val="0"/>
          <w:numId w:val="1"/>
        </w:numPr>
        <w:autoSpaceDE w:val="0"/>
        <w:autoSpaceDN w:val="0"/>
        <w:adjustRightInd w:val="0"/>
        <w:spacing w:after="100" w:line="360" w:lineRule="auto"/>
        <w:jc w:val="both"/>
        <w:rPr>
          <w:rFonts w:asciiTheme="majorBidi" w:hAnsiTheme="majorBidi" w:cstheme="majorBidi"/>
          <w:color w:val="000000"/>
          <w:lang w:bidi="ar-EG"/>
        </w:rPr>
      </w:pPr>
      <w:r w:rsidRPr="00DE3B74">
        <w:rPr>
          <w:rFonts w:asciiTheme="majorBidi" w:hAnsiTheme="majorBidi" w:cstheme="majorBidi"/>
          <w:color w:val="000000"/>
          <w:lang w:bidi="ar-EG"/>
        </w:rPr>
        <w:t>El-</w:t>
      </w:r>
      <w:proofErr w:type="spellStart"/>
      <w:r w:rsidRPr="00DE3B74">
        <w:rPr>
          <w:rFonts w:asciiTheme="majorBidi" w:hAnsiTheme="majorBidi" w:cstheme="majorBidi"/>
          <w:color w:val="000000"/>
          <w:lang w:bidi="ar-EG"/>
        </w:rPr>
        <w:t>Sobky</w:t>
      </w:r>
      <w:proofErr w:type="spellEnd"/>
      <w:r w:rsidRPr="00DE3B74">
        <w:rPr>
          <w:rFonts w:asciiTheme="majorBidi" w:hAnsiTheme="majorBidi" w:cstheme="majorBidi"/>
          <w:color w:val="000000"/>
          <w:lang w:bidi="ar-EG"/>
        </w:rPr>
        <w:t xml:space="preserve"> T. Subtrochanteric valgus osteotomy in developmental </w:t>
      </w:r>
      <w:proofErr w:type="spellStart"/>
      <w:r w:rsidRPr="00DE3B74">
        <w:rPr>
          <w:rFonts w:asciiTheme="majorBidi" w:hAnsiTheme="majorBidi" w:cstheme="majorBidi"/>
          <w:color w:val="000000"/>
          <w:lang w:bidi="ar-EG"/>
        </w:rPr>
        <w:t>coxa</w:t>
      </w:r>
      <w:proofErr w:type="spellEnd"/>
      <w:r w:rsidRPr="00DE3B74">
        <w:rPr>
          <w:rFonts w:asciiTheme="majorBidi" w:hAnsiTheme="majorBidi" w:cstheme="majorBidi"/>
          <w:color w:val="000000"/>
          <w:lang w:bidi="ar-EG"/>
        </w:rPr>
        <w:t xml:space="preserve"> </w:t>
      </w:r>
      <w:proofErr w:type="spellStart"/>
      <w:r w:rsidRPr="00DE3B74">
        <w:rPr>
          <w:rFonts w:asciiTheme="majorBidi" w:hAnsiTheme="majorBidi" w:cstheme="majorBidi"/>
          <w:color w:val="000000"/>
          <w:lang w:bidi="ar-EG"/>
        </w:rPr>
        <w:t>vara</w:t>
      </w:r>
      <w:proofErr w:type="spellEnd"/>
      <w:r w:rsidRPr="00DE3B74">
        <w:rPr>
          <w:rFonts w:asciiTheme="majorBidi" w:hAnsiTheme="majorBidi" w:cstheme="majorBidi"/>
          <w:color w:val="000000"/>
          <w:lang w:bidi="ar-EG"/>
        </w:rPr>
        <w:t xml:space="preserve">. Indian J </w:t>
      </w:r>
      <w:proofErr w:type="spellStart"/>
      <w:r w:rsidRPr="00DE3B74">
        <w:rPr>
          <w:rFonts w:asciiTheme="majorBidi" w:hAnsiTheme="majorBidi" w:cstheme="majorBidi"/>
          <w:color w:val="000000"/>
          <w:lang w:bidi="ar-EG"/>
        </w:rPr>
        <w:t>Orthop</w:t>
      </w:r>
      <w:proofErr w:type="spellEnd"/>
      <w:r w:rsidRPr="00DE3B74">
        <w:rPr>
          <w:rFonts w:asciiTheme="majorBidi" w:hAnsiTheme="majorBidi" w:cstheme="majorBidi"/>
          <w:color w:val="000000"/>
          <w:lang w:bidi="ar-EG"/>
        </w:rPr>
        <w:t>. 2011;45(4):320-3.</w:t>
      </w:r>
    </w:p>
    <w:p w14:paraId="29ABB8C8" w14:textId="77777777" w:rsidR="00B0733B" w:rsidRPr="00DE3B74" w:rsidRDefault="00B0733B" w:rsidP="00B0733B">
      <w:pPr>
        <w:numPr>
          <w:ilvl w:val="0"/>
          <w:numId w:val="1"/>
        </w:numPr>
        <w:autoSpaceDE w:val="0"/>
        <w:autoSpaceDN w:val="0"/>
        <w:adjustRightInd w:val="0"/>
        <w:spacing w:after="100" w:line="360" w:lineRule="auto"/>
        <w:jc w:val="both"/>
        <w:rPr>
          <w:rFonts w:asciiTheme="majorBidi" w:hAnsiTheme="majorBidi" w:cstheme="majorBidi"/>
          <w:color w:val="000000"/>
          <w:lang w:bidi="ar-EG"/>
        </w:rPr>
      </w:pPr>
      <w:proofErr w:type="spellStart"/>
      <w:r w:rsidRPr="00DE3B74">
        <w:rPr>
          <w:rFonts w:asciiTheme="majorBidi" w:hAnsiTheme="majorBidi" w:cstheme="majorBidi"/>
          <w:color w:val="000000"/>
          <w:lang w:bidi="ar-EG"/>
        </w:rPr>
        <w:t>Elzohairy</w:t>
      </w:r>
      <w:proofErr w:type="spellEnd"/>
      <w:r w:rsidRPr="00DE3B74">
        <w:rPr>
          <w:rFonts w:asciiTheme="majorBidi" w:hAnsiTheme="majorBidi" w:cstheme="majorBidi"/>
          <w:color w:val="000000"/>
          <w:lang w:bidi="ar-EG"/>
        </w:rPr>
        <w:t xml:space="preserve"> MM, </w:t>
      </w:r>
      <w:proofErr w:type="spellStart"/>
      <w:r w:rsidRPr="00DE3B74">
        <w:rPr>
          <w:rFonts w:asciiTheme="majorBidi" w:hAnsiTheme="majorBidi" w:cstheme="majorBidi"/>
          <w:color w:val="000000"/>
          <w:lang w:bidi="ar-EG"/>
        </w:rPr>
        <w:t>Khairy</w:t>
      </w:r>
      <w:proofErr w:type="spellEnd"/>
      <w:r w:rsidRPr="00DE3B74">
        <w:rPr>
          <w:rFonts w:asciiTheme="majorBidi" w:hAnsiTheme="majorBidi" w:cstheme="majorBidi"/>
          <w:color w:val="000000"/>
          <w:lang w:bidi="ar-EG"/>
        </w:rPr>
        <w:t xml:space="preserve"> HM. Fixation of intertrochanteric valgus osteotomy with T plate in treatment of developmental </w:t>
      </w:r>
      <w:proofErr w:type="spellStart"/>
      <w:r w:rsidRPr="00DE3B74">
        <w:rPr>
          <w:rFonts w:asciiTheme="majorBidi" w:hAnsiTheme="majorBidi" w:cstheme="majorBidi"/>
          <w:color w:val="000000"/>
          <w:lang w:bidi="ar-EG"/>
        </w:rPr>
        <w:t>coxa</w:t>
      </w:r>
      <w:proofErr w:type="spellEnd"/>
      <w:r w:rsidRPr="00DE3B74">
        <w:rPr>
          <w:rFonts w:asciiTheme="majorBidi" w:hAnsiTheme="majorBidi" w:cstheme="majorBidi"/>
          <w:color w:val="000000"/>
          <w:lang w:bidi="ar-EG"/>
        </w:rPr>
        <w:t xml:space="preserve"> </w:t>
      </w:r>
      <w:proofErr w:type="spellStart"/>
      <w:r w:rsidRPr="00DE3B74">
        <w:rPr>
          <w:rFonts w:asciiTheme="majorBidi" w:hAnsiTheme="majorBidi" w:cstheme="majorBidi"/>
          <w:color w:val="000000"/>
          <w:lang w:bidi="ar-EG"/>
        </w:rPr>
        <w:t>vara</w:t>
      </w:r>
      <w:proofErr w:type="spellEnd"/>
      <w:r w:rsidRPr="00DE3B74">
        <w:rPr>
          <w:rFonts w:asciiTheme="majorBidi" w:hAnsiTheme="majorBidi" w:cstheme="majorBidi"/>
          <w:color w:val="000000"/>
          <w:lang w:bidi="ar-EG"/>
        </w:rPr>
        <w:t>. Clinics in Orthopedic Surgery. 2016 Sep 1;8(3):310-5.</w:t>
      </w:r>
    </w:p>
    <w:p w14:paraId="3BDC875B" w14:textId="77777777" w:rsidR="00B0733B" w:rsidRPr="00DE3B74" w:rsidRDefault="00B0733B" w:rsidP="00B0733B">
      <w:pPr>
        <w:numPr>
          <w:ilvl w:val="0"/>
          <w:numId w:val="1"/>
        </w:numPr>
        <w:autoSpaceDE w:val="0"/>
        <w:autoSpaceDN w:val="0"/>
        <w:adjustRightInd w:val="0"/>
        <w:spacing w:after="100" w:line="360" w:lineRule="auto"/>
        <w:jc w:val="both"/>
        <w:rPr>
          <w:rFonts w:asciiTheme="majorBidi" w:hAnsiTheme="majorBidi" w:cstheme="majorBidi"/>
          <w:color w:val="000000"/>
          <w:lang w:bidi="ar-EG"/>
        </w:rPr>
      </w:pPr>
      <w:proofErr w:type="spellStart"/>
      <w:r w:rsidRPr="00DE3B74">
        <w:rPr>
          <w:rFonts w:asciiTheme="majorBidi" w:hAnsiTheme="majorBidi" w:cstheme="majorBidi"/>
          <w:color w:val="000000"/>
          <w:lang w:bidi="ar-EG"/>
        </w:rPr>
        <w:t>Galante</w:t>
      </w:r>
      <w:proofErr w:type="spellEnd"/>
      <w:r w:rsidRPr="00DE3B74">
        <w:rPr>
          <w:rFonts w:asciiTheme="majorBidi" w:hAnsiTheme="majorBidi" w:cstheme="majorBidi"/>
          <w:color w:val="000000"/>
          <w:lang w:bidi="ar-EG"/>
        </w:rPr>
        <w:t xml:space="preserve"> VN, </w:t>
      </w:r>
      <w:proofErr w:type="spellStart"/>
      <w:r w:rsidRPr="00DE3B74">
        <w:rPr>
          <w:rFonts w:asciiTheme="majorBidi" w:hAnsiTheme="majorBidi" w:cstheme="majorBidi"/>
          <w:color w:val="000000"/>
          <w:lang w:bidi="ar-EG"/>
        </w:rPr>
        <w:t>Caiaffa</w:t>
      </w:r>
      <w:proofErr w:type="spellEnd"/>
      <w:r w:rsidRPr="00DE3B74">
        <w:rPr>
          <w:rFonts w:asciiTheme="majorBidi" w:hAnsiTheme="majorBidi" w:cstheme="majorBidi"/>
          <w:color w:val="000000"/>
          <w:lang w:bidi="ar-EG"/>
        </w:rPr>
        <w:t xml:space="preserve"> V, </w:t>
      </w:r>
      <w:proofErr w:type="spellStart"/>
      <w:r w:rsidRPr="00DE3B74">
        <w:rPr>
          <w:rFonts w:asciiTheme="majorBidi" w:hAnsiTheme="majorBidi" w:cstheme="majorBidi"/>
          <w:color w:val="000000"/>
          <w:lang w:bidi="ar-EG"/>
        </w:rPr>
        <w:t>Franchin</w:t>
      </w:r>
      <w:proofErr w:type="spellEnd"/>
      <w:r w:rsidRPr="00DE3B74">
        <w:rPr>
          <w:rFonts w:asciiTheme="majorBidi" w:hAnsiTheme="majorBidi" w:cstheme="majorBidi"/>
          <w:color w:val="000000"/>
          <w:lang w:bidi="ar-EG"/>
        </w:rPr>
        <w:t xml:space="preserve"> F, </w:t>
      </w:r>
      <w:proofErr w:type="spellStart"/>
      <w:r w:rsidRPr="00DE3B74">
        <w:rPr>
          <w:rFonts w:asciiTheme="majorBidi" w:hAnsiTheme="majorBidi" w:cstheme="majorBidi"/>
          <w:color w:val="000000"/>
          <w:lang w:bidi="ar-EG"/>
        </w:rPr>
        <w:t>Colasuonno</w:t>
      </w:r>
      <w:proofErr w:type="spellEnd"/>
      <w:r w:rsidRPr="00DE3B74">
        <w:rPr>
          <w:rFonts w:asciiTheme="majorBidi" w:hAnsiTheme="majorBidi" w:cstheme="majorBidi"/>
          <w:color w:val="000000"/>
          <w:lang w:bidi="ar-EG"/>
        </w:rPr>
        <w:t xml:space="preserve"> R. The treatment of infantile </w:t>
      </w:r>
      <w:proofErr w:type="spellStart"/>
      <w:r w:rsidRPr="00DE3B74">
        <w:rPr>
          <w:rFonts w:asciiTheme="majorBidi" w:hAnsiTheme="majorBidi" w:cstheme="majorBidi"/>
          <w:color w:val="000000"/>
          <w:lang w:bidi="ar-EG"/>
        </w:rPr>
        <w:t>coxa</w:t>
      </w:r>
      <w:proofErr w:type="spellEnd"/>
      <w:r w:rsidRPr="00DE3B74">
        <w:rPr>
          <w:rFonts w:asciiTheme="majorBidi" w:hAnsiTheme="majorBidi" w:cstheme="majorBidi"/>
          <w:color w:val="000000"/>
          <w:lang w:bidi="ar-EG"/>
        </w:rPr>
        <w:t xml:space="preserve"> </w:t>
      </w:r>
      <w:proofErr w:type="spellStart"/>
      <w:r w:rsidRPr="00DE3B74">
        <w:rPr>
          <w:rFonts w:asciiTheme="majorBidi" w:hAnsiTheme="majorBidi" w:cstheme="majorBidi"/>
          <w:color w:val="000000"/>
          <w:lang w:bidi="ar-EG"/>
        </w:rPr>
        <w:t>vara</w:t>
      </w:r>
      <w:proofErr w:type="spellEnd"/>
      <w:r w:rsidRPr="00DE3B74">
        <w:rPr>
          <w:rFonts w:asciiTheme="majorBidi" w:hAnsiTheme="majorBidi" w:cstheme="majorBidi"/>
          <w:color w:val="000000"/>
          <w:lang w:bidi="ar-EG"/>
        </w:rPr>
        <w:t xml:space="preserve"> with the external circular fixator. </w:t>
      </w:r>
      <w:proofErr w:type="spellStart"/>
      <w:r w:rsidRPr="00DE3B74">
        <w:rPr>
          <w:rFonts w:asciiTheme="majorBidi" w:hAnsiTheme="majorBidi" w:cstheme="majorBidi"/>
          <w:color w:val="000000"/>
          <w:lang w:bidi="ar-EG"/>
        </w:rPr>
        <w:t>Ital</w:t>
      </w:r>
      <w:proofErr w:type="spellEnd"/>
      <w:r w:rsidRPr="00DE3B74">
        <w:rPr>
          <w:rFonts w:asciiTheme="majorBidi" w:hAnsiTheme="majorBidi" w:cstheme="majorBidi"/>
          <w:color w:val="000000"/>
          <w:lang w:bidi="ar-EG"/>
        </w:rPr>
        <w:t xml:space="preserve"> J </w:t>
      </w:r>
      <w:proofErr w:type="spellStart"/>
      <w:r w:rsidRPr="00DE3B74">
        <w:rPr>
          <w:rFonts w:asciiTheme="majorBidi" w:hAnsiTheme="majorBidi" w:cstheme="majorBidi"/>
          <w:color w:val="000000"/>
          <w:lang w:bidi="ar-EG"/>
        </w:rPr>
        <w:t>Orthop</w:t>
      </w:r>
      <w:proofErr w:type="spellEnd"/>
      <w:r w:rsidRPr="00DE3B74">
        <w:rPr>
          <w:rFonts w:asciiTheme="majorBidi" w:hAnsiTheme="majorBidi" w:cstheme="majorBidi"/>
          <w:color w:val="000000"/>
          <w:lang w:bidi="ar-EG"/>
        </w:rPr>
        <w:t xml:space="preserve"> </w:t>
      </w:r>
      <w:proofErr w:type="spellStart"/>
      <w:r w:rsidRPr="00DE3B74">
        <w:rPr>
          <w:rFonts w:asciiTheme="majorBidi" w:hAnsiTheme="majorBidi" w:cstheme="majorBidi"/>
          <w:color w:val="000000"/>
          <w:lang w:bidi="ar-EG"/>
        </w:rPr>
        <w:t>Traumatol</w:t>
      </w:r>
      <w:proofErr w:type="spellEnd"/>
      <w:r w:rsidRPr="00DE3B74">
        <w:rPr>
          <w:rFonts w:asciiTheme="majorBidi" w:hAnsiTheme="majorBidi" w:cstheme="majorBidi"/>
          <w:color w:val="000000"/>
          <w:lang w:bidi="ar-EG"/>
        </w:rPr>
        <w:t>. 1990;16(4):491-500.</w:t>
      </w:r>
    </w:p>
    <w:p w14:paraId="16417877" w14:textId="77777777" w:rsidR="00B0733B" w:rsidRPr="00DE3B74" w:rsidRDefault="00B0733B" w:rsidP="00B0733B">
      <w:pPr>
        <w:numPr>
          <w:ilvl w:val="0"/>
          <w:numId w:val="1"/>
        </w:numPr>
        <w:autoSpaceDE w:val="0"/>
        <w:autoSpaceDN w:val="0"/>
        <w:adjustRightInd w:val="0"/>
        <w:spacing w:after="100" w:line="360" w:lineRule="auto"/>
        <w:jc w:val="both"/>
        <w:rPr>
          <w:rFonts w:asciiTheme="majorBidi" w:hAnsiTheme="majorBidi" w:cstheme="majorBidi"/>
          <w:color w:val="000000"/>
          <w:lang w:bidi="ar-EG"/>
        </w:rPr>
      </w:pPr>
      <w:r w:rsidRPr="00DE3B74">
        <w:rPr>
          <w:rFonts w:asciiTheme="majorBidi" w:hAnsiTheme="majorBidi" w:cstheme="majorBidi"/>
          <w:color w:val="000000"/>
          <w:lang w:bidi="ar-EG"/>
        </w:rPr>
        <w:t xml:space="preserve">Carroll K, Coleman S, Stevens PM. </w:t>
      </w:r>
      <w:proofErr w:type="spellStart"/>
      <w:r w:rsidRPr="00DE3B74">
        <w:rPr>
          <w:rFonts w:asciiTheme="majorBidi" w:hAnsiTheme="majorBidi" w:cstheme="majorBidi"/>
          <w:color w:val="000000"/>
          <w:lang w:bidi="ar-EG"/>
        </w:rPr>
        <w:t>Coxa</w:t>
      </w:r>
      <w:proofErr w:type="spellEnd"/>
      <w:r w:rsidRPr="00DE3B74">
        <w:rPr>
          <w:rFonts w:asciiTheme="majorBidi" w:hAnsiTheme="majorBidi" w:cstheme="majorBidi"/>
          <w:color w:val="000000"/>
          <w:lang w:bidi="ar-EG"/>
        </w:rPr>
        <w:t xml:space="preserve"> </w:t>
      </w:r>
      <w:proofErr w:type="spellStart"/>
      <w:r w:rsidRPr="00DE3B74">
        <w:rPr>
          <w:rFonts w:asciiTheme="majorBidi" w:hAnsiTheme="majorBidi" w:cstheme="majorBidi"/>
          <w:color w:val="000000"/>
          <w:lang w:bidi="ar-EG"/>
        </w:rPr>
        <w:t>vara</w:t>
      </w:r>
      <w:proofErr w:type="spellEnd"/>
      <w:r w:rsidRPr="00DE3B74">
        <w:rPr>
          <w:rFonts w:asciiTheme="majorBidi" w:hAnsiTheme="majorBidi" w:cstheme="majorBidi"/>
          <w:color w:val="000000"/>
          <w:lang w:bidi="ar-EG"/>
        </w:rPr>
        <w:t xml:space="preserve">: surgical outcomes of valgus osteotomies. J </w:t>
      </w:r>
      <w:proofErr w:type="spellStart"/>
      <w:r w:rsidRPr="00DE3B74">
        <w:rPr>
          <w:rFonts w:asciiTheme="majorBidi" w:hAnsiTheme="majorBidi" w:cstheme="majorBidi"/>
          <w:color w:val="000000"/>
          <w:lang w:bidi="ar-EG"/>
        </w:rPr>
        <w:t>Pediatr</w:t>
      </w:r>
      <w:proofErr w:type="spellEnd"/>
      <w:r w:rsidRPr="00DE3B74">
        <w:rPr>
          <w:rFonts w:asciiTheme="majorBidi" w:hAnsiTheme="majorBidi" w:cstheme="majorBidi"/>
          <w:color w:val="000000"/>
          <w:lang w:bidi="ar-EG"/>
        </w:rPr>
        <w:t xml:space="preserve"> </w:t>
      </w:r>
      <w:proofErr w:type="spellStart"/>
      <w:r w:rsidRPr="00DE3B74">
        <w:rPr>
          <w:rFonts w:asciiTheme="majorBidi" w:hAnsiTheme="majorBidi" w:cstheme="majorBidi"/>
          <w:color w:val="000000"/>
          <w:lang w:bidi="ar-EG"/>
        </w:rPr>
        <w:t>Orthop</w:t>
      </w:r>
      <w:proofErr w:type="spellEnd"/>
      <w:r w:rsidRPr="00DE3B74">
        <w:rPr>
          <w:rFonts w:asciiTheme="majorBidi" w:hAnsiTheme="majorBidi" w:cstheme="majorBidi"/>
          <w:color w:val="000000"/>
          <w:lang w:bidi="ar-EG"/>
        </w:rPr>
        <w:t xml:space="preserve">. 1997;17(2): 220-4.  </w:t>
      </w:r>
    </w:p>
    <w:p w14:paraId="68B72EDE" w14:textId="77777777" w:rsidR="00B0733B" w:rsidRPr="00DE3B74" w:rsidRDefault="00B0733B" w:rsidP="00B0733B">
      <w:pPr>
        <w:numPr>
          <w:ilvl w:val="0"/>
          <w:numId w:val="1"/>
        </w:numPr>
        <w:autoSpaceDE w:val="0"/>
        <w:autoSpaceDN w:val="0"/>
        <w:adjustRightInd w:val="0"/>
        <w:spacing w:after="100" w:line="360" w:lineRule="auto"/>
        <w:jc w:val="both"/>
        <w:rPr>
          <w:rFonts w:asciiTheme="majorBidi" w:hAnsiTheme="majorBidi" w:cstheme="majorBidi"/>
          <w:color w:val="000000"/>
          <w:lang w:bidi="ar-EG"/>
        </w:rPr>
      </w:pPr>
      <w:r w:rsidRPr="00DE3B74">
        <w:rPr>
          <w:rFonts w:asciiTheme="majorBidi" w:hAnsiTheme="majorBidi" w:cstheme="majorBidi"/>
          <w:color w:val="000000"/>
          <w:lang w:bidi="ar-EG"/>
        </w:rPr>
        <w:t xml:space="preserve">Burns KA, Stevens PM. </w:t>
      </w:r>
      <w:proofErr w:type="spellStart"/>
      <w:r w:rsidRPr="00DE3B74">
        <w:rPr>
          <w:rFonts w:asciiTheme="majorBidi" w:hAnsiTheme="majorBidi" w:cstheme="majorBidi"/>
          <w:color w:val="000000"/>
          <w:lang w:bidi="ar-EG"/>
        </w:rPr>
        <w:t>Coxa</w:t>
      </w:r>
      <w:proofErr w:type="spellEnd"/>
      <w:r w:rsidRPr="00DE3B74">
        <w:rPr>
          <w:rFonts w:asciiTheme="majorBidi" w:hAnsiTheme="majorBidi" w:cstheme="majorBidi"/>
          <w:color w:val="000000"/>
          <w:lang w:bidi="ar-EG"/>
        </w:rPr>
        <w:t xml:space="preserve"> </w:t>
      </w:r>
      <w:proofErr w:type="spellStart"/>
      <w:r w:rsidRPr="00DE3B74">
        <w:rPr>
          <w:rFonts w:asciiTheme="majorBidi" w:hAnsiTheme="majorBidi" w:cstheme="majorBidi"/>
          <w:color w:val="000000"/>
          <w:lang w:bidi="ar-EG"/>
        </w:rPr>
        <w:t>vara</w:t>
      </w:r>
      <w:proofErr w:type="spellEnd"/>
      <w:r w:rsidRPr="00DE3B74">
        <w:rPr>
          <w:rFonts w:asciiTheme="majorBidi" w:hAnsiTheme="majorBidi" w:cstheme="majorBidi"/>
          <w:color w:val="000000"/>
          <w:lang w:bidi="ar-EG"/>
        </w:rPr>
        <w:t xml:space="preserve">: another option for fixation. J </w:t>
      </w:r>
      <w:proofErr w:type="spellStart"/>
      <w:r w:rsidRPr="00DE3B74">
        <w:rPr>
          <w:rFonts w:asciiTheme="majorBidi" w:hAnsiTheme="majorBidi" w:cstheme="majorBidi"/>
          <w:color w:val="000000"/>
          <w:lang w:bidi="ar-EG"/>
        </w:rPr>
        <w:t>Pediatr</w:t>
      </w:r>
      <w:proofErr w:type="spellEnd"/>
      <w:r w:rsidRPr="00DE3B74">
        <w:rPr>
          <w:rFonts w:asciiTheme="majorBidi" w:hAnsiTheme="majorBidi" w:cstheme="majorBidi"/>
          <w:color w:val="000000"/>
          <w:lang w:bidi="ar-EG"/>
        </w:rPr>
        <w:t xml:space="preserve"> </w:t>
      </w:r>
      <w:proofErr w:type="spellStart"/>
      <w:r w:rsidRPr="00DE3B74">
        <w:rPr>
          <w:rFonts w:asciiTheme="majorBidi" w:hAnsiTheme="majorBidi" w:cstheme="majorBidi"/>
          <w:color w:val="000000"/>
          <w:lang w:bidi="ar-EG"/>
        </w:rPr>
        <w:t>Orthop</w:t>
      </w:r>
      <w:proofErr w:type="spellEnd"/>
      <w:r w:rsidRPr="00DE3B74">
        <w:rPr>
          <w:rFonts w:asciiTheme="majorBidi" w:hAnsiTheme="majorBidi" w:cstheme="majorBidi"/>
          <w:color w:val="000000"/>
          <w:lang w:bidi="ar-EG"/>
        </w:rPr>
        <w:t xml:space="preserve"> B 2001; 10: 304-10. </w:t>
      </w:r>
    </w:p>
    <w:p w14:paraId="568DD8FB" w14:textId="77777777" w:rsidR="00B0733B" w:rsidRPr="00DE3B74" w:rsidRDefault="00B0733B" w:rsidP="00B0733B">
      <w:pPr>
        <w:numPr>
          <w:ilvl w:val="0"/>
          <w:numId w:val="1"/>
        </w:numPr>
        <w:autoSpaceDE w:val="0"/>
        <w:autoSpaceDN w:val="0"/>
        <w:adjustRightInd w:val="0"/>
        <w:spacing w:after="100" w:line="360" w:lineRule="auto"/>
        <w:jc w:val="both"/>
        <w:rPr>
          <w:rFonts w:asciiTheme="majorBidi" w:hAnsiTheme="majorBidi" w:cstheme="majorBidi"/>
          <w:color w:val="000000"/>
          <w:lang w:bidi="ar-EG"/>
        </w:rPr>
      </w:pPr>
      <w:proofErr w:type="spellStart"/>
      <w:r w:rsidRPr="00DE3B74">
        <w:rPr>
          <w:rFonts w:asciiTheme="majorBidi" w:hAnsiTheme="majorBidi" w:cstheme="majorBidi"/>
          <w:color w:val="000000"/>
          <w:lang w:bidi="ar-EG"/>
        </w:rPr>
        <w:t>Schoenfeld</w:t>
      </w:r>
      <w:proofErr w:type="spellEnd"/>
      <w:r w:rsidRPr="00DE3B74">
        <w:rPr>
          <w:rFonts w:asciiTheme="majorBidi" w:hAnsiTheme="majorBidi" w:cstheme="majorBidi"/>
          <w:color w:val="000000"/>
          <w:lang w:bidi="ar-EG"/>
        </w:rPr>
        <w:t xml:space="preserve"> AJ, </w:t>
      </w:r>
      <w:proofErr w:type="spellStart"/>
      <w:r w:rsidRPr="00DE3B74">
        <w:rPr>
          <w:rFonts w:asciiTheme="majorBidi" w:hAnsiTheme="majorBidi" w:cstheme="majorBidi"/>
          <w:color w:val="000000"/>
          <w:lang w:bidi="ar-EG"/>
        </w:rPr>
        <w:t>Vrabec</w:t>
      </w:r>
      <w:proofErr w:type="spellEnd"/>
      <w:r w:rsidRPr="00DE3B74">
        <w:rPr>
          <w:rFonts w:asciiTheme="majorBidi" w:hAnsiTheme="majorBidi" w:cstheme="majorBidi"/>
          <w:color w:val="000000"/>
          <w:lang w:bidi="ar-EG"/>
        </w:rPr>
        <w:t xml:space="preserve"> GA. Valgus osteotomy of the proximal femur with sliding hip screw for the treatment of femoral neck </w:t>
      </w:r>
      <w:proofErr w:type="spellStart"/>
      <w:r w:rsidRPr="00DE3B74">
        <w:rPr>
          <w:rFonts w:asciiTheme="majorBidi" w:hAnsiTheme="majorBidi" w:cstheme="majorBidi"/>
          <w:color w:val="000000"/>
          <w:lang w:bidi="ar-EG"/>
        </w:rPr>
        <w:t>nonunions</w:t>
      </w:r>
      <w:proofErr w:type="spellEnd"/>
      <w:r w:rsidRPr="00DE3B74">
        <w:rPr>
          <w:rFonts w:asciiTheme="majorBidi" w:hAnsiTheme="majorBidi" w:cstheme="majorBidi"/>
          <w:color w:val="000000"/>
          <w:lang w:bidi="ar-EG"/>
        </w:rPr>
        <w:t xml:space="preserve">: the technique, a case series, and literature review. J </w:t>
      </w:r>
      <w:proofErr w:type="spellStart"/>
      <w:r w:rsidRPr="00DE3B74">
        <w:rPr>
          <w:rFonts w:asciiTheme="majorBidi" w:hAnsiTheme="majorBidi" w:cstheme="majorBidi"/>
          <w:color w:val="000000"/>
          <w:lang w:bidi="ar-EG"/>
        </w:rPr>
        <w:t>Orthop</w:t>
      </w:r>
      <w:proofErr w:type="spellEnd"/>
      <w:r w:rsidRPr="00DE3B74">
        <w:rPr>
          <w:rFonts w:asciiTheme="majorBidi" w:hAnsiTheme="majorBidi" w:cstheme="majorBidi"/>
          <w:color w:val="000000"/>
          <w:lang w:bidi="ar-EG"/>
        </w:rPr>
        <w:t xml:space="preserve"> Trauma 2006; 20: 485-91. </w:t>
      </w:r>
    </w:p>
    <w:p w14:paraId="1ACA0953" w14:textId="77777777" w:rsidR="00B0733B" w:rsidRPr="00DE3B74" w:rsidRDefault="00B0733B" w:rsidP="00B0733B">
      <w:pPr>
        <w:numPr>
          <w:ilvl w:val="0"/>
          <w:numId w:val="1"/>
        </w:numPr>
        <w:autoSpaceDE w:val="0"/>
        <w:autoSpaceDN w:val="0"/>
        <w:adjustRightInd w:val="0"/>
        <w:spacing w:after="100" w:line="360" w:lineRule="auto"/>
        <w:jc w:val="both"/>
        <w:rPr>
          <w:rFonts w:asciiTheme="majorBidi" w:hAnsiTheme="majorBidi" w:cstheme="majorBidi"/>
          <w:color w:val="000000"/>
          <w:lang w:bidi="ar-EG"/>
        </w:rPr>
      </w:pPr>
      <w:r w:rsidRPr="00DE3B74">
        <w:rPr>
          <w:rFonts w:asciiTheme="majorBidi" w:hAnsiTheme="majorBidi" w:cstheme="majorBidi"/>
          <w:color w:val="000000"/>
          <w:lang w:bidi="ar-EG"/>
        </w:rPr>
        <w:t xml:space="preserve">Pauwels F. Biomechanics of the normal and diseased hip: theoretical foundation, technique, and results of treatment: an atlas. Berlin: Springer Verlag; 1976. </w:t>
      </w:r>
    </w:p>
    <w:p w14:paraId="53D47D75" w14:textId="77777777" w:rsidR="00B0733B" w:rsidRPr="00DE3B74" w:rsidRDefault="00B0733B" w:rsidP="00B0733B">
      <w:pPr>
        <w:numPr>
          <w:ilvl w:val="0"/>
          <w:numId w:val="1"/>
        </w:numPr>
        <w:autoSpaceDE w:val="0"/>
        <w:autoSpaceDN w:val="0"/>
        <w:adjustRightInd w:val="0"/>
        <w:spacing w:after="100" w:line="360" w:lineRule="auto"/>
        <w:jc w:val="both"/>
        <w:rPr>
          <w:rFonts w:asciiTheme="majorBidi" w:hAnsiTheme="majorBidi" w:cstheme="majorBidi"/>
          <w:color w:val="000000"/>
          <w:lang w:bidi="ar-EG"/>
        </w:rPr>
      </w:pPr>
      <w:r w:rsidRPr="00DE3B74">
        <w:rPr>
          <w:rFonts w:asciiTheme="majorBidi" w:hAnsiTheme="majorBidi" w:cstheme="majorBidi"/>
          <w:color w:val="000000"/>
          <w:lang w:bidi="ar-EG"/>
        </w:rPr>
        <w:t xml:space="preserve">Khan AQ, Khan MS, Sherwani MK, Agarwal R. Role of valgus osteotomy and fixation with dynamic S82 J Med Assoc Thai Vol. 97 Suppl. 9 2014 hip screw and 120 degrees double angle barrel plate in the management of neglected and ununited femoral neck fracture in young patients. J </w:t>
      </w:r>
      <w:proofErr w:type="spellStart"/>
      <w:r w:rsidRPr="00DE3B74">
        <w:rPr>
          <w:rFonts w:asciiTheme="majorBidi" w:hAnsiTheme="majorBidi" w:cstheme="majorBidi"/>
          <w:color w:val="000000"/>
          <w:lang w:bidi="ar-EG"/>
        </w:rPr>
        <w:t>Orthop</w:t>
      </w:r>
      <w:proofErr w:type="spellEnd"/>
      <w:r w:rsidRPr="00DE3B74">
        <w:rPr>
          <w:rFonts w:asciiTheme="majorBidi" w:hAnsiTheme="majorBidi" w:cstheme="majorBidi"/>
          <w:color w:val="000000"/>
          <w:lang w:bidi="ar-EG"/>
        </w:rPr>
        <w:t xml:space="preserve"> </w:t>
      </w:r>
      <w:proofErr w:type="spellStart"/>
      <w:r w:rsidRPr="00DE3B74">
        <w:rPr>
          <w:rFonts w:asciiTheme="majorBidi" w:hAnsiTheme="majorBidi" w:cstheme="majorBidi"/>
          <w:color w:val="000000"/>
          <w:lang w:bidi="ar-EG"/>
        </w:rPr>
        <w:t>Traumatol</w:t>
      </w:r>
      <w:proofErr w:type="spellEnd"/>
      <w:r w:rsidRPr="00DE3B74">
        <w:rPr>
          <w:rFonts w:asciiTheme="majorBidi" w:hAnsiTheme="majorBidi" w:cstheme="majorBidi"/>
          <w:color w:val="000000"/>
          <w:lang w:bidi="ar-EG"/>
        </w:rPr>
        <w:t xml:space="preserve"> 2009; 10: 71-8.</w:t>
      </w:r>
    </w:p>
    <w:p w14:paraId="19DDD636" w14:textId="77777777" w:rsidR="00B0733B" w:rsidRPr="00DE3B74" w:rsidRDefault="00B0733B" w:rsidP="00B0733B">
      <w:pPr>
        <w:numPr>
          <w:ilvl w:val="0"/>
          <w:numId w:val="1"/>
        </w:numPr>
        <w:autoSpaceDE w:val="0"/>
        <w:autoSpaceDN w:val="0"/>
        <w:adjustRightInd w:val="0"/>
        <w:spacing w:after="100" w:line="360" w:lineRule="auto"/>
        <w:jc w:val="both"/>
        <w:rPr>
          <w:rFonts w:asciiTheme="majorBidi" w:hAnsiTheme="majorBidi" w:cstheme="majorBidi"/>
          <w:color w:val="000000"/>
          <w:lang w:bidi="ar-EG"/>
        </w:rPr>
      </w:pPr>
      <w:r w:rsidRPr="00DE3B74">
        <w:rPr>
          <w:rFonts w:asciiTheme="majorBidi" w:hAnsiTheme="majorBidi" w:cstheme="majorBidi"/>
          <w:color w:val="000000"/>
          <w:lang w:bidi="ar-EG"/>
        </w:rPr>
        <w:t xml:space="preserve">Khan AQ, Khan MS, Sherwani MK, Agarwal R. Role of valgus osteotomy and fixation with dynamic S82 J Med Assoc Thai Vol. 97 Suppl. 9 2014 hip screw and 120 degrees double angle barrel plate in the management of neglected and ununited femoral neck fracture in young patients. J </w:t>
      </w:r>
      <w:proofErr w:type="spellStart"/>
      <w:r w:rsidRPr="00DE3B74">
        <w:rPr>
          <w:rFonts w:asciiTheme="majorBidi" w:hAnsiTheme="majorBidi" w:cstheme="majorBidi"/>
          <w:color w:val="000000"/>
          <w:lang w:bidi="ar-EG"/>
        </w:rPr>
        <w:t>Orthop</w:t>
      </w:r>
      <w:proofErr w:type="spellEnd"/>
      <w:r w:rsidRPr="00DE3B74">
        <w:rPr>
          <w:rFonts w:asciiTheme="majorBidi" w:hAnsiTheme="majorBidi" w:cstheme="majorBidi"/>
          <w:color w:val="000000"/>
          <w:lang w:bidi="ar-EG"/>
        </w:rPr>
        <w:t xml:space="preserve"> </w:t>
      </w:r>
      <w:proofErr w:type="spellStart"/>
      <w:r w:rsidRPr="00DE3B74">
        <w:rPr>
          <w:rFonts w:asciiTheme="majorBidi" w:hAnsiTheme="majorBidi" w:cstheme="majorBidi"/>
          <w:color w:val="000000"/>
          <w:lang w:bidi="ar-EG"/>
        </w:rPr>
        <w:t>Traumatol</w:t>
      </w:r>
      <w:proofErr w:type="spellEnd"/>
      <w:r w:rsidRPr="00DE3B74">
        <w:rPr>
          <w:rFonts w:asciiTheme="majorBidi" w:hAnsiTheme="majorBidi" w:cstheme="majorBidi"/>
          <w:color w:val="000000"/>
          <w:lang w:bidi="ar-EG"/>
        </w:rPr>
        <w:t xml:space="preserve"> 2009; 10: 71-8.</w:t>
      </w:r>
    </w:p>
    <w:p w14:paraId="6E6F8DE3" w14:textId="77777777" w:rsidR="00B0733B" w:rsidRPr="00DE3B74" w:rsidRDefault="00B0733B" w:rsidP="00B0733B">
      <w:pPr>
        <w:numPr>
          <w:ilvl w:val="0"/>
          <w:numId w:val="1"/>
        </w:numPr>
        <w:autoSpaceDE w:val="0"/>
        <w:autoSpaceDN w:val="0"/>
        <w:adjustRightInd w:val="0"/>
        <w:spacing w:after="100" w:line="360" w:lineRule="auto"/>
        <w:jc w:val="both"/>
        <w:rPr>
          <w:rFonts w:asciiTheme="majorBidi" w:hAnsiTheme="majorBidi" w:cstheme="majorBidi"/>
          <w:color w:val="000000"/>
          <w:lang w:bidi="ar-EG"/>
        </w:rPr>
      </w:pPr>
      <w:proofErr w:type="spellStart"/>
      <w:r w:rsidRPr="00DE3B74">
        <w:rPr>
          <w:rFonts w:asciiTheme="majorBidi" w:hAnsiTheme="majorBidi" w:cstheme="majorBidi"/>
          <w:color w:val="000000"/>
          <w:lang w:bidi="ar-EG"/>
        </w:rPr>
        <w:t>Fassier</w:t>
      </w:r>
      <w:proofErr w:type="spellEnd"/>
      <w:r w:rsidRPr="00DE3B74">
        <w:rPr>
          <w:rFonts w:asciiTheme="majorBidi" w:hAnsiTheme="majorBidi" w:cstheme="majorBidi"/>
          <w:color w:val="000000"/>
          <w:lang w:bidi="ar-EG"/>
        </w:rPr>
        <w:t xml:space="preserve"> F, </w:t>
      </w:r>
      <w:proofErr w:type="spellStart"/>
      <w:r w:rsidRPr="00DE3B74">
        <w:rPr>
          <w:rFonts w:asciiTheme="majorBidi" w:hAnsiTheme="majorBidi" w:cstheme="majorBidi"/>
          <w:color w:val="000000"/>
          <w:lang w:bidi="ar-EG"/>
        </w:rPr>
        <w:t>Sardar</w:t>
      </w:r>
      <w:proofErr w:type="spellEnd"/>
      <w:r w:rsidRPr="00DE3B74">
        <w:rPr>
          <w:rFonts w:asciiTheme="majorBidi" w:hAnsiTheme="majorBidi" w:cstheme="majorBidi"/>
          <w:color w:val="000000"/>
          <w:lang w:bidi="ar-EG"/>
        </w:rPr>
        <w:t xml:space="preserve"> Z, </w:t>
      </w:r>
      <w:proofErr w:type="spellStart"/>
      <w:r w:rsidRPr="00DE3B74">
        <w:rPr>
          <w:rFonts w:asciiTheme="majorBidi" w:hAnsiTheme="majorBidi" w:cstheme="majorBidi"/>
          <w:color w:val="000000"/>
          <w:lang w:bidi="ar-EG"/>
        </w:rPr>
        <w:t>Aarabi</w:t>
      </w:r>
      <w:proofErr w:type="spellEnd"/>
      <w:r w:rsidRPr="00DE3B74">
        <w:rPr>
          <w:rFonts w:asciiTheme="majorBidi" w:hAnsiTheme="majorBidi" w:cstheme="majorBidi"/>
          <w:color w:val="000000"/>
          <w:lang w:bidi="ar-EG"/>
        </w:rPr>
        <w:t xml:space="preserve"> M, </w:t>
      </w:r>
      <w:proofErr w:type="spellStart"/>
      <w:r w:rsidRPr="00DE3B74">
        <w:rPr>
          <w:rFonts w:asciiTheme="majorBidi" w:hAnsiTheme="majorBidi" w:cstheme="majorBidi"/>
          <w:color w:val="000000"/>
          <w:lang w:bidi="ar-EG"/>
        </w:rPr>
        <w:t>Odent</w:t>
      </w:r>
      <w:proofErr w:type="spellEnd"/>
      <w:r w:rsidRPr="00DE3B74">
        <w:rPr>
          <w:rFonts w:asciiTheme="majorBidi" w:hAnsiTheme="majorBidi" w:cstheme="majorBidi"/>
          <w:color w:val="000000"/>
          <w:lang w:bidi="ar-EG"/>
        </w:rPr>
        <w:t xml:space="preserve"> T, </w:t>
      </w:r>
      <w:proofErr w:type="spellStart"/>
      <w:r w:rsidRPr="00DE3B74">
        <w:rPr>
          <w:rFonts w:asciiTheme="majorBidi" w:hAnsiTheme="majorBidi" w:cstheme="majorBidi"/>
          <w:color w:val="000000"/>
          <w:lang w:bidi="ar-EG"/>
        </w:rPr>
        <w:t>Haque</w:t>
      </w:r>
      <w:proofErr w:type="spellEnd"/>
      <w:r w:rsidRPr="00DE3B74">
        <w:rPr>
          <w:rFonts w:asciiTheme="majorBidi" w:hAnsiTheme="majorBidi" w:cstheme="majorBidi"/>
          <w:color w:val="000000"/>
          <w:lang w:bidi="ar-EG"/>
        </w:rPr>
        <w:t xml:space="preserve"> T, </w:t>
      </w:r>
      <w:proofErr w:type="spellStart"/>
      <w:r w:rsidRPr="00DE3B74">
        <w:rPr>
          <w:rFonts w:asciiTheme="majorBidi" w:hAnsiTheme="majorBidi" w:cstheme="majorBidi"/>
          <w:color w:val="000000"/>
          <w:lang w:bidi="ar-EG"/>
        </w:rPr>
        <w:t>Hamdy</w:t>
      </w:r>
      <w:proofErr w:type="spellEnd"/>
      <w:r w:rsidRPr="00DE3B74">
        <w:rPr>
          <w:rFonts w:asciiTheme="majorBidi" w:hAnsiTheme="majorBidi" w:cstheme="majorBidi"/>
          <w:color w:val="000000"/>
          <w:lang w:bidi="ar-EG"/>
        </w:rPr>
        <w:t xml:space="preserve"> R. Results and complications of a surgical technique for correction of </w:t>
      </w:r>
      <w:proofErr w:type="spellStart"/>
      <w:r w:rsidRPr="00DE3B74">
        <w:rPr>
          <w:rFonts w:asciiTheme="majorBidi" w:hAnsiTheme="majorBidi" w:cstheme="majorBidi"/>
          <w:color w:val="000000"/>
          <w:lang w:bidi="ar-EG"/>
        </w:rPr>
        <w:t>coxa</w:t>
      </w:r>
      <w:proofErr w:type="spellEnd"/>
      <w:r w:rsidRPr="00DE3B74">
        <w:rPr>
          <w:rFonts w:asciiTheme="majorBidi" w:hAnsiTheme="majorBidi" w:cstheme="majorBidi"/>
          <w:color w:val="000000"/>
          <w:lang w:bidi="ar-EG"/>
        </w:rPr>
        <w:t xml:space="preserve"> </w:t>
      </w:r>
      <w:proofErr w:type="spellStart"/>
      <w:r w:rsidRPr="00DE3B74">
        <w:rPr>
          <w:rFonts w:asciiTheme="majorBidi" w:hAnsiTheme="majorBidi" w:cstheme="majorBidi"/>
          <w:color w:val="000000"/>
          <w:lang w:bidi="ar-EG"/>
        </w:rPr>
        <w:t>vara</w:t>
      </w:r>
      <w:proofErr w:type="spellEnd"/>
      <w:r w:rsidRPr="00DE3B74">
        <w:rPr>
          <w:rFonts w:asciiTheme="majorBidi" w:hAnsiTheme="majorBidi" w:cstheme="majorBidi"/>
          <w:color w:val="000000"/>
          <w:lang w:bidi="ar-EG"/>
        </w:rPr>
        <w:t xml:space="preserve"> in children with </w:t>
      </w:r>
      <w:proofErr w:type="spellStart"/>
      <w:r w:rsidRPr="00DE3B74">
        <w:rPr>
          <w:rFonts w:asciiTheme="majorBidi" w:hAnsiTheme="majorBidi" w:cstheme="majorBidi"/>
          <w:color w:val="000000"/>
          <w:lang w:bidi="ar-EG"/>
        </w:rPr>
        <w:t>osteopenic</w:t>
      </w:r>
      <w:proofErr w:type="spellEnd"/>
      <w:r w:rsidRPr="00DE3B74">
        <w:rPr>
          <w:rFonts w:asciiTheme="majorBidi" w:hAnsiTheme="majorBidi" w:cstheme="majorBidi"/>
          <w:color w:val="000000"/>
          <w:lang w:bidi="ar-EG"/>
        </w:rPr>
        <w:t xml:space="preserve"> bones. J </w:t>
      </w:r>
      <w:proofErr w:type="spellStart"/>
      <w:r w:rsidRPr="00DE3B74">
        <w:rPr>
          <w:rFonts w:asciiTheme="majorBidi" w:hAnsiTheme="majorBidi" w:cstheme="majorBidi"/>
          <w:color w:val="000000"/>
          <w:lang w:bidi="ar-EG"/>
        </w:rPr>
        <w:t>Pediatr</w:t>
      </w:r>
      <w:proofErr w:type="spellEnd"/>
      <w:r w:rsidRPr="00DE3B74">
        <w:rPr>
          <w:rFonts w:asciiTheme="majorBidi" w:hAnsiTheme="majorBidi" w:cstheme="majorBidi"/>
          <w:color w:val="000000"/>
          <w:lang w:bidi="ar-EG"/>
        </w:rPr>
        <w:t xml:space="preserve"> </w:t>
      </w:r>
      <w:proofErr w:type="spellStart"/>
      <w:r w:rsidRPr="00DE3B74">
        <w:rPr>
          <w:rFonts w:asciiTheme="majorBidi" w:hAnsiTheme="majorBidi" w:cstheme="majorBidi"/>
          <w:color w:val="000000"/>
          <w:lang w:bidi="ar-EG"/>
        </w:rPr>
        <w:t>Orthop</w:t>
      </w:r>
      <w:proofErr w:type="spellEnd"/>
      <w:r w:rsidRPr="00DE3B74">
        <w:rPr>
          <w:rFonts w:asciiTheme="majorBidi" w:hAnsiTheme="majorBidi" w:cstheme="majorBidi"/>
          <w:color w:val="000000"/>
          <w:lang w:bidi="ar-EG"/>
        </w:rPr>
        <w:t xml:space="preserve"> 2008; 28: 799-805.</w:t>
      </w:r>
    </w:p>
    <w:p w14:paraId="48A3271D" w14:textId="77777777" w:rsidR="00B0733B" w:rsidRPr="00DE3B74" w:rsidRDefault="00B0733B" w:rsidP="00B0733B">
      <w:pPr>
        <w:numPr>
          <w:ilvl w:val="0"/>
          <w:numId w:val="1"/>
        </w:numPr>
        <w:autoSpaceDE w:val="0"/>
        <w:autoSpaceDN w:val="0"/>
        <w:adjustRightInd w:val="0"/>
        <w:spacing w:after="100" w:line="360" w:lineRule="auto"/>
        <w:jc w:val="both"/>
        <w:rPr>
          <w:rFonts w:asciiTheme="majorBidi" w:hAnsiTheme="majorBidi" w:cstheme="majorBidi"/>
          <w:color w:val="000000"/>
          <w:lang w:bidi="ar-EG"/>
        </w:rPr>
      </w:pPr>
      <w:r w:rsidRPr="00DE3B74">
        <w:rPr>
          <w:rFonts w:asciiTheme="majorBidi" w:hAnsiTheme="majorBidi" w:cstheme="majorBidi"/>
          <w:color w:val="000000"/>
          <w:lang w:bidi="ar-EG"/>
        </w:rPr>
        <w:t xml:space="preserve">Desai SS, Johnson LO. Long-term results of valgus osteotomy for congenital </w:t>
      </w:r>
      <w:proofErr w:type="spellStart"/>
      <w:r w:rsidRPr="00DE3B74">
        <w:rPr>
          <w:rFonts w:asciiTheme="majorBidi" w:hAnsiTheme="majorBidi" w:cstheme="majorBidi"/>
          <w:color w:val="000000"/>
          <w:lang w:bidi="ar-EG"/>
        </w:rPr>
        <w:t>coxa</w:t>
      </w:r>
      <w:proofErr w:type="spellEnd"/>
      <w:r w:rsidRPr="00DE3B74">
        <w:rPr>
          <w:rFonts w:asciiTheme="majorBidi" w:hAnsiTheme="majorBidi" w:cstheme="majorBidi"/>
          <w:color w:val="000000"/>
          <w:lang w:bidi="ar-EG"/>
        </w:rPr>
        <w:t xml:space="preserve"> </w:t>
      </w:r>
      <w:proofErr w:type="spellStart"/>
      <w:r w:rsidRPr="00DE3B74">
        <w:rPr>
          <w:rFonts w:asciiTheme="majorBidi" w:hAnsiTheme="majorBidi" w:cstheme="majorBidi"/>
          <w:color w:val="000000"/>
          <w:lang w:bidi="ar-EG"/>
        </w:rPr>
        <w:t>vara</w:t>
      </w:r>
      <w:proofErr w:type="spellEnd"/>
      <w:r w:rsidRPr="00DE3B74">
        <w:rPr>
          <w:rFonts w:asciiTheme="majorBidi" w:hAnsiTheme="majorBidi" w:cstheme="majorBidi"/>
          <w:color w:val="000000"/>
          <w:lang w:bidi="ar-EG"/>
        </w:rPr>
        <w:t xml:space="preserve">. </w:t>
      </w:r>
      <w:proofErr w:type="spellStart"/>
      <w:r w:rsidRPr="00DE3B74">
        <w:rPr>
          <w:rFonts w:asciiTheme="majorBidi" w:hAnsiTheme="majorBidi" w:cstheme="majorBidi"/>
          <w:color w:val="000000"/>
          <w:lang w:bidi="ar-EG"/>
        </w:rPr>
        <w:t>Clin</w:t>
      </w:r>
      <w:proofErr w:type="spellEnd"/>
      <w:r w:rsidRPr="00DE3B74">
        <w:rPr>
          <w:rFonts w:asciiTheme="majorBidi" w:hAnsiTheme="majorBidi" w:cstheme="majorBidi"/>
          <w:color w:val="000000"/>
          <w:lang w:bidi="ar-EG"/>
        </w:rPr>
        <w:t xml:space="preserve"> </w:t>
      </w:r>
      <w:proofErr w:type="spellStart"/>
      <w:r w:rsidRPr="00DE3B74">
        <w:rPr>
          <w:rFonts w:asciiTheme="majorBidi" w:hAnsiTheme="majorBidi" w:cstheme="majorBidi"/>
          <w:color w:val="000000"/>
          <w:lang w:bidi="ar-EG"/>
        </w:rPr>
        <w:t>Orthop</w:t>
      </w:r>
      <w:proofErr w:type="spellEnd"/>
      <w:r w:rsidRPr="00DE3B74">
        <w:rPr>
          <w:rFonts w:asciiTheme="majorBidi" w:hAnsiTheme="majorBidi" w:cstheme="majorBidi"/>
          <w:color w:val="000000"/>
          <w:lang w:bidi="ar-EG"/>
        </w:rPr>
        <w:t xml:space="preserve"> </w:t>
      </w:r>
      <w:proofErr w:type="spellStart"/>
      <w:r w:rsidRPr="00DE3B74">
        <w:rPr>
          <w:rFonts w:asciiTheme="majorBidi" w:hAnsiTheme="majorBidi" w:cstheme="majorBidi"/>
          <w:color w:val="000000"/>
          <w:lang w:bidi="ar-EG"/>
        </w:rPr>
        <w:t>Relat</w:t>
      </w:r>
      <w:proofErr w:type="spellEnd"/>
      <w:r w:rsidRPr="00DE3B74">
        <w:rPr>
          <w:rFonts w:asciiTheme="majorBidi" w:hAnsiTheme="majorBidi" w:cstheme="majorBidi"/>
          <w:color w:val="000000"/>
          <w:lang w:bidi="ar-EG"/>
        </w:rPr>
        <w:t xml:space="preserve"> Res 1993; 204-10. </w:t>
      </w:r>
    </w:p>
    <w:p w14:paraId="362061DF" w14:textId="77777777" w:rsidR="00B0733B" w:rsidRPr="00DE3B74" w:rsidRDefault="00B0733B" w:rsidP="00B0733B">
      <w:pPr>
        <w:numPr>
          <w:ilvl w:val="0"/>
          <w:numId w:val="1"/>
        </w:numPr>
        <w:autoSpaceDE w:val="0"/>
        <w:autoSpaceDN w:val="0"/>
        <w:adjustRightInd w:val="0"/>
        <w:spacing w:after="100" w:line="360" w:lineRule="auto"/>
        <w:jc w:val="both"/>
        <w:rPr>
          <w:rFonts w:asciiTheme="majorBidi" w:hAnsiTheme="majorBidi" w:cstheme="majorBidi"/>
          <w:color w:val="000000"/>
          <w:lang w:bidi="ar-EG"/>
        </w:rPr>
      </w:pPr>
      <w:r w:rsidRPr="00DE3B74">
        <w:rPr>
          <w:rFonts w:asciiTheme="majorBidi" w:hAnsiTheme="majorBidi" w:cstheme="majorBidi"/>
          <w:color w:val="000000"/>
          <w:lang w:bidi="ar-EG"/>
        </w:rPr>
        <w:t xml:space="preserve">Cordes S, Dickens DR, Cole WG. Correction of </w:t>
      </w:r>
      <w:proofErr w:type="spellStart"/>
      <w:r w:rsidRPr="00DE3B74">
        <w:rPr>
          <w:rFonts w:asciiTheme="majorBidi" w:hAnsiTheme="majorBidi" w:cstheme="majorBidi"/>
          <w:color w:val="000000"/>
          <w:lang w:bidi="ar-EG"/>
        </w:rPr>
        <w:t>coxa</w:t>
      </w:r>
      <w:proofErr w:type="spellEnd"/>
      <w:r w:rsidRPr="00DE3B74">
        <w:rPr>
          <w:rFonts w:asciiTheme="majorBidi" w:hAnsiTheme="majorBidi" w:cstheme="majorBidi"/>
          <w:color w:val="000000"/>
          <w:lang w:bidi="ar-EG"/>
        </w:rPr>
        <w:t xml:space="preserve"> </w:t>
      </w:r>
      <w:proofErr w:type="spellStart"/>
      <w:r w:rsidRPr="00DE3B74">
        <w:rPr>
          <w:rFonts w:asciiTheme="majorBidi" w:hAnsiTheme="majorBidi" w:cstheme="majorBidi"/>
          <w:color w:val="000000"/>
          <w:lang w:bidi="ar-EG"/>
        </w:rPr>
        <w:t>vara</w:t>
      </w:r>
      <w:proofErr w:type="spellEnd"/>
      <w:r w:rsidRPr="00DE3B74">
        <w:rPr>
          <w:rFonts w:asciiTheme="majorBidi" w:hAnsiTheme="majorBidi" w:cstheme="majorBidi"/>
          <w:color w:val="000000"/>
          <w:lang w:bidi="ar-EG"/>
        </w:rPr>
        <w:t xml:space="preserve"> in childhood. The use of Pauwels’ Y-shaped osteotomy. J Bone Joint Surg Br 1991; 73: 3-6.</w:t>
      </w:r>
    </w:p>
    <w:p w14:paraId="135775CA" w14:textId="77777777" w:rsidR="00B0733B" w:rsidRPr="00DE3B74" w:rsidRDefault="00B0733B" w:rsidP="00B0733B">
      <w:pPr>
        <w:numPr>
          <w:ilvl w:val="0"/>
          <w:numId w:val="1"/>
        </w:numPr>
        <w:autoSpaceDE w:val="0"/>
        <w:autoSpaceDN w:val="0"/>
        <w:adjustRightInd w:val="0"/>
        <w:spacing w:after="100" w:line="360" w:lineRule="auto"/>
        <w:jc w:val="both"/>
        <w:rPr>
          <w:rFonts w:asciiTheme="majorBidi" w:hAnsiTheme="majorBidi" w:cstheme="majorBidi"/>
          <w:color w:val="000000"/>
          <w:lang w:bidi="ar-EG"/>
        </w:rPr>
      </w:pPr>
      <w:r w:rsidRPr="00DE3B74">
        <w:rPr>
          <w:rFonts w:asciiTheme="majorBidi" w:hAnsiTheme="majorBidi" w:cstheme="majorBidi"/>
          <w:color w:val="000000"/>
          <w:lang w:bidi="ar-EG"/>
        </w:rPr>
        <w:t xml:space="preserve">Sabharwal S, Mittal R, Cox G. Percutaneous </w:t>
      </w:r>
      <w:proofErr w:type="spellStart"/>
      <w:r w:rsidRPr="00DE3B74">
        <w:rPr>
          <w:rFonts w:asciiTheme="majorBidi" w:hAnsiTheme="majorBidi" w:cstheme="majorBidi"/>
          <w:color w:val="000000"/>
          <w:lang w:bidi="ar-EG"/>
        </w:rPr>
        <w:t>triplanar</w:t>
      </w:r>
      <w:proofErr w:type="spellEnd"/>
      <w:r w:rsidRPr="00DE3B74">
        <w:rPr>
          <w:rFonts w:asciiTheme="majorBidi" w:hAnsiTheme="majorBidi" w:cstheme="majorBidi"/>
          <w:color w:val="000000"/>
          <w:lang w:bidi="ar-EG"/>
        </w:rPr>
        <w:t xml:space="preserve"> femoral osteotomy correction for developmental </w:t>
      </w:r>
      <w:proofErr w:type="spellStart"/>
      <w:r w:rsidRPr="00DE3B74">
        <w:rPr>
          <w:rFonts w:asciiTheme="majorBidi" w:hAnsiTheme="majorBidi" w:cstheme="majorBidi"/>
          <w:color w:val="000000"/>
          <w:lang w:bidi="ar-EG"/>
        </w:rPr>
        <w:t>coxa</w:t>
      </w:r>
      <w:proofErr w:type="spellEnd"/>
      <w:r w:rsidRPr="00DE3B74">
        <w:rPr>
          <w:rFonts w:asciiTheme="majorBidi" w:hAnsiTheme="majorBidi" w:cstheme="majorBidi"/>
          <w:color w:val="000000"/>
          <w:lang w:bidi="ar-EG"/>
        </w:rPr>
        <w:t xml:space="preserve"> </w:t>
      </w:r>
      <w:proofErr w:type="spellStart"/>
      <w:r w:rsidRPr="00DE3B74">
        <w:rPr>
          <w:rFonts w:asciiTheme="majorBidi" w:hAnsiTheme="majorBidi" w:cstheme="majorBidi"/>
          <w:color w:val="000000"/>
          <w:lang w:bidi="ar-EG"/>
        </w:rPr>
        <w:t>vara</w:t>
      </w:r>
      <w:proofErr w:type="spellEnd"/>
      <w:r w:rsidRPr="00DE3B74">
        <w:rPr>
          <w:rFonts w:asciiTheme="majorBidi" w:hAnsiTheme="majorBidi" w:cstheme="majorBidi"/>
          <w:color w:val="000000"/>
          <w:lang w:bidi="ar-EG"/>
        </w:rPr>
        <w:t xml:space="preserve">: a new technique. J </w:t>
      </w:r>
      <w:proofErr w:type="spellStart"/>
      <w:r w:rsidRPr="00DE3B74">
        <w:rPr>
          <w:rFonts w:asciiTheme="majorBidi" w:hAnsiTheme="majorBidi" w:cstheme="majorBidi"/>
          <w:color w:val="000000"/>
          <w:lang w:bidi="ar-EG"/>
        </w:rPr>
        <w:t>Pediatr</w:t>
      </w:r>
      <w:proofErr w:type="spellEnd"/>
      <w:r w:rsidRPr="00DE3B74">
        <w:rPr>
          <w:rFonts w:asciiTheme="majorBidi" w:hAnsiTheme="majorBidi" w:cstheme="majorBidi"/>
          <w:color w:val="000000"/>
          <w:lang w:bidi="ar-EG"/>
        </w:rPr>
        <w:t xml:space="preserve"> </w:t>
      </w:r>
      <w:proofErr w:type="spellStart"/>
      <w:r w:rsidRPr="00DE3B74">
        <w:rPr>
          <w:rFonts w:asciiTheme="majorBidi" w:hAnsiTheme="majorBidi" w:cstheme="majorBidi"/>
          <w:color w:val="000000"/>
          <w:lang w:bidi="ar-EG"/>
        </w:rPr>
        <w:t>Orthop</w:t>
      </w:r>
      <w:proofErr w:type="spellEnd"/>
      <w:r w:rsidRPr="00DE3B74">
        <w:rPr>
          <w:rFonts w:asciiTheme="majorBidi" w:hAnsiTheme="majorBidi" w:cstheme="majorBidi"/>
          <w:color w:val="000000"/>
          <w:lang w:bidi="ar-EG"/>
        </w:rPr>
        <w:t>. 2005;25:28–33.</w:t>
      </w:r>
      <w:r w:rsidRPr="00DE3B74">
        <w:rPr>
          <w:rFonts w:asciiTheme="majorBidi" w:hAnsiTheme="majorBidi" w:cstheme="majorBidi"/>
          <w:color w:val="000000"/>
          <w:lang w:bidi="ar-EG"/>
        </w:rPr>
        <w:cr/>
      </w:r>
    </w:p>
    <w:p w14:paraId="1D4E8EB1" w14:textId="77777777" w:rsidR="00B0733B" w:rsidRPr="002D7030" w:rsidRDefault="00B0733B" w:rsidP="00B0733B">
      <w:pPr>
        <w:autoSpaceDE w:val="0"/>
        <w:autoSpaceDN w:val="0"/>
        <w:adjustRightInd w:val="0"/>
        <w:spacing w:after="100" w:line="360" w:lineRule="auto"/>
        <w:jc w:val="both"/>
        <w:rPr>
          <w:rFonts w:asciiTheme="majorBidi" w:hAnsiTheme="majorBidi" w:cstheme="majorBidi"/>
          <w:color w:val="000000"/>
          <w:rtl/>
          <w:lang w:bidi="ar-EG"/>
        </w:rPr>
      </w:pPr>
    </w:p>
    <w:p w14:paraId="12F23692" w14:textId="77777777" w:rsidR="007A7A63" w:rsidRPr="007A7A63" w:rsidRDefault="007A7A63" w:rsidP="007A7A63">
      <w:pPr>
        <w:spacing w:after="100" w:line="360" w:lineRule="auto"/>
        <w:jc w:val="center"/>
      </w:pPr>
    </w:p>
    <w:sectPr w:rsidR="007A7A63" w:rsidRPr="007A7A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Georgia">
    <w:altName w:val="Noto Serif"/>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D4F73"/>
    <w:multiLevelType w:val="hybridMultilevel"/>
    <w:tmpl w:val="6952C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AB"/>
    <w:rsid w:val="000015C8"/>
    <w:rsid w:val="00005566"/>
    <w:rsid w:val="00012431"/>
    <w:rsid w:val="00012FF6"/>
    <w:rsid w:val="00022CC5"/>
    <w:rsid w:val="00046398"/>
    <w:rsid w:val="00070F32"/>
    <w:rsid w:val="0007757A"/>
    <w:rsid w:val="00081B6C"/>
    <w:rsid w:val="00085397"/>
    <w:rsid w:val="000939CC"/>
    <w:rsid w:val="00095379"/>
    <w:rsid w:val="00096DB6"/>
    <w:rsid w:val="000A6D26"/>
    <w:rsid w:val="000B6419"/>
    <w:rsid w:val="000C5435"/>
    <w:rsid w:val="000D1662"/>
    <w:rsid w:val="000E2038"/>
    <w:rsid w:val="000F1945"/>
    <w:rsid w:val="000F4EE6"/>
    <w:rsid w:val="000F79D7"/>
    <w:rsid w:val="00107015"/>
    <w:rsid w:val="00117A44"/>
    <w:rsid w:val="001343EE"/>
    <w:rsid w:val="001423A8"/>
    <w:rsid w:val="00170735"/>
    <w:rsid w:val="00175FCF"/>
    <w:rsid w:val="0018639A"/>
    <w:rsid w:val="00192062"/>
    <w:rsid w:val="001A2E12"/>
    <w:rsid w:val="00205E17"/>
    <w:rsid w:val="00207A5C"/>
    <w:rsid w:val="00225CA9"/>
    <w:rsid w:val="00226464"/>
    <w:rsid w:val="0024315A"/>
    <w:rsid w:val="00247C45"/>
    <w:rsid w:val="00263046"/>
    <w:rsid w:val="002B699E"/>
    <w:rsid w:val="002C07D3"/>
    <w:rsid w:val="002C153C"/>
    <w:rsid w:val="002D246C"/>
    <w:rsid w:val="002D7030"/>
    <w:rsid w:val="002F290E"/>
    <w:rsid w:val="002F3A04"/>
    <w:rsid w:val="002F4F2E"/>
    <w:rsid w:val="00300705"/>
    <w:rsid w:val="0031320C"/>
    <w:rsid w:val="003277B2"/>
    <w:rsid w:val="00327CC6"/>
    <w:rsid w:val="00331AD0"/>
    <w:rsid w:val="00332B57"/>
    <w:rsid w:val="0038515C"/>
    <w:rsid w:val="00386A0A"/>
    <w:rsid w:val="003914AB"/>
    <w:rsid w:val="003A2828"/>
    <w:rsid w:val="003B46C5"/>
    <w:rsid w:val="003B4E30"/>
    <w:rsid w:val="003D6845"/>
    <w:rsid w:val="003F4E92"/>
    <w:rsid w:val="00406860"/>
    <w:rsid w:val="004125AC"/>
    <w:rsid w:val="00413FA8"/>
    <w:rsid w:val="004164D6"/>
    <w:rsid w:val="004239AC"/>
    <w:rsid w:val="0042680D"/>
    <w:rsid w:val="004337B0"/>
    <w:rsid w:val="004504C1"/>
    <w:rsid w:val="004720B8"/>
    <w:rsid w:val="00482135"/>
    <w:rsid w:val="00495775"/>
    <w:rsid w:val="00497278"/>
    <w:rsid w:val="004A1128"/>
    <w:rsid w:val="004A1EF2"/>
    <w:rsid w:val="004B4475"/>
    <w:rsid w:val="004E3DD2"/>
    <w:rsid w:val="004F3778"/>
    <w:rsid w:val="004F4AF4"/>
    <w:rsid w:val="005237AD"/>
    <w:rsid w:val="005244FC"/>
    <w:rsid w:val="00540A2E"/>
    <w:rsid w:val="00546BE3"/>
    <w:rsid w:val="00564634"/>
    <w:rsid w:val="005709D9"/>
    <w:rsid w:val="0057123B"/>
    <w:rsid w:val="005973FB"/>
    <w:rsid w:val="005A0638"/>
    <w:rsid w:val="005A0F1D"/>
    <w:rsid w:val="005A3F6F"/>
    <w:rsid w:val="005C3464"/>
    <w:rsid w:val="005D0513"/>
    <w:rsid w:val="00604D86"/>
    <w:rsid w:val="00610F9B"/>
    <w:rsid w:val="00614D49"/>
    <w:rsid w:val="0063031A"/>
    <w:rsid w:val="00633078"/>
    <w:rsid w:val="0064023A"/>
    <w:rsid w:val="00647320"/>
    <w:rsid w:val="00661476"/>
    <w:rsid w:val="00670CE5"/>
    <w:rsid w:val="00674F3E"/>
    <w:rsid w:val="0067618F"/>
    <w:rsid w:val="00686748"/>
    <w:rsid w:val="00686B13"/>
    <w:rsid w:val="00694ADC"/>
    <w:rsid w:val="00695331"/>
    <w:rsid w:val="006955F9"/>
    <w:rsid w:val="006C3522"/>
    <w:rsid w:val="006D4C11"/>
    <w:rsid w:val="006E1D64"/>
    <w:rsid w:val="006F03A8"/>
    <w:rsid w:val="006F0CA5"/>
    <w:rsid w:val="006F108D"/>
    <w:rsid w:val="006F2EBE"/>
    <w:rsid w:val="007130F7"/>
    <w:rsid w:val="007204D6"/>
    <w:rsid w:val="00743219"/>
    <w:rsid w:val="00753F93"/>
    <w:rsid w:val="00754BF4"/>
    <w:rsid w:val="00774E30"/>
    <w:rsid w:val="007769D7"/>
    <w:rsid w:val="00777AC0"/>
    <w:rsid w:val="00781996"/>
    <w:rsid w:val="00782DC2"/>
    <w:rsid w:val="007A7A63"/>
    <w:rsid w:val="007B75F4"/>
    <w:rsid w:val="007B7F8F"/>
    <w:rsid w:val="007C45EF"/>
    <w:rsid w:val="007D4822"/>
    <w:rsid w:val="007F0A1E"/>
    <w:rsid w:val="00805BF0"/>
    <w:rsid w:val="00827253"/>
    <w:rsid w:val="00830086"/>
    <w:rsid w:val="00834C06"/>
    <w:rsid w:val="00837587"/>
    <w:rsid w:val="008428F3"/>
    <w:rsid w:val="00857A60"/>
    <w:rsid w:val="00860953"/>
    <w:rsid w:val="00875D2F"/>
    <w:rsid w:val="00881141"/>
    <w:rsid w:val="008B57CE"/>
    <w:rsid w:val="008B6A59"/>
    <w:rsid w:val="008D1107"/>
    <w:rsid w:val="008D387B"/>
    <w:rsid w:val="008E7E16"/>
    <w:rsid w:val="009022C4"/>
    <w:rsid w:val="009029F5"/>
    <w:rsid w:val="00922446"/>
    <w:rsid w:val="00923937"/>
    <w:rsid w:val="00924721"/>
    <w:rsid w:val="00934933"/>
    <w:rsid w:val="00946D17"/>
    <w:rsid w:val="009471E4"/>
    <w:rsid w:val="00951715"/>
    <w:rsid w:val="00954108"/>
    <w:rsid w:val="0096170D"/>
    <w:rsid w:val="00972409"/>
    <w:rsid w:val="009A533C"/>
    <w:rsid w:val="009A62C0"/>
    <w:rsid w:val="009C4FC2"/>
    <w:rsid w:val="009D427F"/>
    <w:rsid w:val="009E1FE7"/>
    <w:rsid w:val="009E6DDC"/>
    <w:rsid w:val="00A02A2D"/>
    <w:rsid w:val="00A06646"/>
    <w:rsid w:val="00A076B1"/>
    <w:rsid w:val="00A15381"/>
    <w:rsid w:val="00A21919"/>
    <w:rsid w:val="00A412BE"/>
    <w:rsid w:val="00A5589A"/>
    <w:rsid w:val="00A6143A"/>
    <w:rsid w:val="00A672B0"/>
    <w:rsid w:val="00A72824"/>
    <w:rsid w:val="00A90216"/>
    <w:rsid w:val="00A93600"/>
    <w:rsid w:val="00A944C0"/>
    <w:rsid w:val="00A96329"/>
    <w:rsid w:val="00AB064F"/>
    <w:rsid w:val="00AB5451"/>
    <w:rsid w:val="00AB666B"/>
    <w:rsid w:val="00AD6619"/>
    <w:rsid w:val="00AE05B3"/>
    <w:rsid w:val="00AF0CD9"/>
    <w:rsid w:val="00B0733B"/>
    <w:rsid w:val="00B17FAA"/>
    <w:rsid w:val="00B37A9E"/>
    <w:rsid w:val="00B44B15"/>
    <w:rsid w:val="00B556C5"/>
    <w:rsid w:val="00B811CB"/>
    <w:rsid w:val="00BA7FE7"/>
    <w:rsid w:val="00BC563A"/>
    <w:rsid w:val="00BD2CA6"/>
    <w:rsid w:val="00BF1F20"/>
    <w:rsid w:val="00C16E55"/>
    <w:rsid w:val="00C33451"/>
    <w:rsid w:val="00C405C1"/>
    <w:rsid w:val="00C41760"/>
    <w:rsid w:val="00C563E7"/>
    <w:rsid w:val="00C7103B"/>
    <w:rsid w:val="00C76A54"/>
    <w:rsid w:val="00C817C0"/>
    <w:rsid w:val="00C8294B"/>
    <w:rsid w:val="00CA1C90"/>
    <w:rsid w:val="00CB0870"/>
    <w:rsid w:val="00CD290C"/>
    <w:rsid w:val="00D30263"/>
    <w:rsid w:val="00D31839"/>
    <w:rsid w:val="00D46FFB"/>
    <w:rsid w:val="00D56FBA"/>
    <w:rsid w:val="00D84E9D"/>
    <w:rsid w:val="00D96016"/>
    <w:rsid w:val="00DA2913"/>
    <w:rsid w:val="00DA32E0"/>
    <w:rsid w:val="00DC4A03"/>
    <w:rsid w:val="00DC6944"/>
    <w:rsid w:val="00DD25BD"/>
    <w:rsid w:val="00DE1F91"/>
    <w:rsid w:val="00DE3B74"/>
    <w:rsid w:val="00DF77A1"/>
    <w:rsid w:val="00E02992"/>
    <w:rsid w:val="00E23555"/>
    <w:rsid w:val="00E27792"/>
    <w:rsid w:val="00E27FF4"/>
    <w:rsid w:val="00E301F6"/>
    <w:rsid w:val="00E3217E"/>
    <w:rsid w:val="00E322A0"/>
    <w:rsid w:val="00E34A2D"/>
    <w:rsid w:val="00E41BB8"/>
    <w:rsid w:val="00E55120"/>
    <w:rsid w:val="00E66B2B"/>
    <w:rsid w:val="00E91E54"/>
    <w:rsid w:val="00EC3654"/>
    <w:rsid w:val="00EC512E"/>
    <w:rsid w:val="00EE2362"/>
    <w:rsid w:val="00EF0A38"/>
    <w:rsid w:val="00EF56EB"/>
    <w:rsid w:val="00EF6593"/>
    <w:rsid w:val="00F04D93"/>
    <w:rsid w:val="00F30C3C"/>
    <w:rsid w:val="00F70E3B"/>
    <w:rsid w:val="00F7604B"/>
    <w:rsid w:val="00FA049C"/>
    <w:rsid w:val="00FA07E0"/>
    <w:rsid w:val="00FA2DAD"/>
    <w:rsid w:val="00FA4A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D43E"/>
  <w15:chartTrackingRefBased/>
  <w15:docId w15:val="{8CC77B41-DE61-7142-B0AD-1CACA83E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3F6F"/>
    <w:pPr>
      <w:autoSpaceDE w:val="0"/>
      <w:autoSpaceDN w:val="0"/>
      <w:adjustRightInd w:val="0"/>
    </w:pPr>
    <w:rPr>
      <w:rFonts w:ascii="Times New Roman" w:hAnsi="Times New Roman" w:cs="Times New Roman"/>
      <w:color w:val="000000"/>
    </w:rPr>
  </w:style>
  <w:style w:type="table" w:customStyle="1" w:styleId="GridTable2-Accent51">
    <w:name w:val="Grid Table 2 - Accent 51"/>
    <w:basedOn w:val="TableNormal"/>
    <w:next w:val="GridTable2-Accent5"/>
    <w:uiPriority w:val="47"/>
    <w:rsid w:val="00A076B1"/>
    <w:rPr>
      <w:sz w:val="22"/>
      <w:szCs w:val="22"/>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A076B1"/>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AF0CD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7A6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A7A63"/>
    <w:rPr>
      <w:color w:val="0563C1" w:themeColor="hyperlink"/>
      <w:u w:val="single"/>
    </w:rPr>
  </w:style>
  <w:style w:type="character" w:customStyle="1" w:styleId="UnresolvedMention">
    <w:name w:val="Unresolved Mention"/>
    <w:basedOn w:val="DefaultParagraphFont"/>
    <w:uiPriority w:val="99"/>
    <w:semiHidden/>
    <w:unhideWhenUsed/>
    <w:rsid w:val="00686748"/>
    <w:rPr>
      <w:color w:val="605E5C"/>
      <w:shd w:val="clear" w:color="auto" w:fill="E1DFDD"/>
    </w:rPr>
  </w:style>
  <w:style w:type="character" w:styleId="FollowedHyperlink">
    <w:name w:val="FollowedHyperlink"/>
    <w:basedOn w:val="DefaultParagraphFont"/>
    <w:uiPriority w:val="99"/>
    <w:semiHidden/>
    <w:unhideWhenUsed/>
    <w:rsid w:val="00B073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2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ouziedmz83@gmail.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ed.rabie@med.helwan.edu.com" TargetMode="External"/><Relationship Id="rId11" Type="http://schemas.openxmlformats.org/officeDocument/2006/relationships/image" Target="media/image4.jpeg"/><Relationship Id="rId5" Type="http://schemas.openxmlformats.org/officeDocument/2006/relationships/hyperlink" Target="mailto:docmohamedrabie@gmail.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Hussein</dc:creator>
  <cp:keywords/>
  <dc:description/>
  <cp:lastModifiedBy>hp</cp:lastModifiedBy>
  <cp:revision>4</cp:revision>
  <dcterms:created xsi:type="dcterms:W3CDTF">2022-06-08T22:29:00Z</dcterms:created>
  <dcterms:modified xsi:type="dcterms:W3CDTF">2023-01-10T07:31:00Z</dcterms:modified>
</cp:coreProperties>
</file>